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jc w:val="center"/>
        <w:spacing w:before="2400" w:after="0"/>
      </w:pPr>
      <w:r>
        <w:rPr>
          <w:rFonts w:ascii="Times New Roman" w:hAnsi="Times New Roman" w:cs="Times New Roman"/>
          <w:b/>
          <w:sz w:val="52"/>
          <w:szCs w:val="52"/>
        </w:rPr>
        <w:t xml:space="preserve">National Security Power and Constitutional Imbalance</w:t>
      </w:r>
    </w:p>
    <w:p>
      <w:pPr>
        <w:jc w:val="center"/>
        <w:spacing w:before="240" w:after="0"/>
      </w:pPr>
      <w:r>
        <w:rPr>
          <w:rFonts w:ascii="Times New Roman" w:hAnsi="Times New Roman" w:cs="Times New Roman"/>
          <w:i/>
          <w:iCs/>
          <w:sz w:val="32"/>
          <w:szCs w:val="32"/>
        </w:rPr>
        <w:t xml:space="preserve">Executive Powers, Congressional Oversight, and Democratic Trust</w:t>
      </w:r>
    </w:p>
    <w:p>
      <w:pPr>
        <w:jc w:val="center"/>
        <w:spacing w:before="1440" w:after="0"/>
      </w:pPr>
      <w:r>
        <w:rPr>
          <w:rFonts w:ascii="Times New Roman" w:hAnsi="Times New Roman" w:cs="Times New Roman"/>
          <w:sz w:val="28"/>
          <w:szCs w:val="28"/>
        </w:rPr>
        <w:t xml:space="preserve">Research Paper</w:t>
      </w:r>
    </w:p>
    <w:p>
      <w:pPr>
        <w:jc w:val="center"/>
        <w:spacing w:before="720" w:after="0"/>
      </w:pPr>
      <w:r>
        <w:rPr>
          <w:rFonts w:ascii="Times New Roman" w:hAnsi="Times New Roman" w:cs="Times New Roman"/>
          <w:sz w:val="24"/>
          <w:szCs w:val="24"/>
        </w:rPr>
        <w:t xml:space="preserve">Alan ElSheshai</w:t>
      </w:r>
    </w:p>
    <w:p>
      <w:pPr>
        <w:jc w:val="center"/>
        <w:spacing w:before="120" w:after="0"/>
      </w:pPr>
      <w:r>
        <w:rPr>
          <w:rFonts w:ascii="Times New Roman" w:hAnsi="Times New Roman" w:cs="Times New Roman"/>
          <w:sz w:val="24"/>
          <w:szCs w:val="24"/>
        </w:rPr>
        <w:t xml:space="preserve">October 15th, 2026</w:t>
      </w:r>
    </w:p>
    <w:p>
      <w:r>
        <w:br w:type="page"/>
      </w:r>
    </w:p>
    <w:bookmarkStart w:id="21" w:name="executive-summary"/>
    <w:p>
      <w:pPr>
        <w:pStyle w:val="Heading2"/>
      </w:pPr>
      <w:r>
        <w:t xml:space="preserve">Executive Summary</w:t>
      </w:r>
    </w:p>
    <w:p>
      <w:pPr>
        <w:pStyle w:val="FirstParagraph"/>
      </w:pPr>
      <w:r>
        <w:t xml:space="preserve">Post-Watergate reforms expanded intelligence oversight, yet disclosure disputes, negotiated access, and limited individual sanctions recur. This paper offers a descriptive synthesis: a vocabulary,</w:t>
      </w:r>
      <w:r>
        <w:t xml:space="preserve"> </w:t>
      </w:r>
      <w:r>
        <w:rPr>
          <w:iCs/>
          <w:i/>
        </w:rPr>
        <w:t xml:space="preserve">constrained negotiated oversight</w:t>
      </w:r>
      <w:r>
        <w:t xml:space="preserve">, and a coding scheme for how executive information control interacts with congressional incentives and uneven enforcement. It makes no predictive claim.</w:t>
      </w:r>
    </w:p>
    <w:p>
      <w:pPr>
        <w:pStyle w:val="BodyText"/>
      </w:pPr>
      <w:r>
        <w:t xml:space="preserve">Four historical episodes (Pike and Church, Iran-Contra, National Security Agency bulk collection, and the Central Intelligence Agency Interrogation Program) are coded on eight process indicators developed with those cases; their fit is not independent validation and no cutoff is applied. In each, observations count against executive absorption of disclosure duties, and in none does the bargaining description fit where partisan and self-correction accounts do not. A Watergate tapes contrast, scored on the Senate committee’s own demand, shows the same early conduct and a failed committee suit; the tapes came through a prosecutor insulated by regulation, under a holding that reserved congressional demands.</w:t>
      </w:r>
    </w:p>
    <w:p>
      <w:pPr>
        <w:pStyle w:val="BodyText"/>
      </w:pPr>
      <w:r>
        <w:t xml:space="preserve">The Epstein Files Transparency Act (EFTA) supplies a contemporary congruence assessment using a frozen August 30, 2026 corpus of 1.38 million documents measured in twelve released data sets, with separately dated litigation updates.</w:t>
      </w:r>
      <w:r>
        <w:rPr>
          <w:rStyle w:val="FootnoteReference"/>
        </w:rPr>
        <w:footnoteReference w:id="20"/>
      </w:r>
      <w:r>
        <w:t xml:space="preserve"> </w:t>
      </w:r>
      <w:r>
        <w:t xml:space="preserve">The analysis identifies disclosure and accounting disputes, not an overall noncompliance percentage. The March 2025 training establishes an earlier instruction but does not prove post-enactment continuity. Preliminary judicial compulsion in</w:t>
      </w:r>
      <w:r>
        <w:t xml:space="preserve"> </w:t>
      </w:r>
      <w:r>
        <w:rPr>
          <w:iCs/>
          <w:i/>
        </w:rPr>
        <w:t xml:space="preserve">Phang v. Blanche</w:t>
      </w:r>
      <w:r>
        <w:t xml:space="preserve"> </w:t>
      </w:r>
      <w:r>
        <w:t xml:space="preserve">shows an Administrative Procedure Act route in use; its jurisdictional basis is on appeal. Unified party control and the Oversight Committee’s party-line 19–24 rejection of a substitute recommending a House-directed suit to enforce its Bondi subpoena leave partisan explanations open.</w:t>
      </w:r>
    </w:p>
    <w:p>
      <w:pPr>
        <w:pStyle w:val="BodyText"/>
      </w:pPr>
      <w:r>
        <w:t xml:space="preserve">The contribution is a bounded descriptive account and conditional reform proposals. Explicit access rights, protected judicial review, collectible remedies, and a civil action for congressional subpoenas could strengthen enforcement, but their effectiveness depends on standing, sovereign-immunity waivers, constitutional limits, and protection of victims.</w:t>
      </w:r>
    </w:p>
    <w:p>
      <w:r>
        <w:pict>
          <v:rect style="width:0;height:1.5pt" o:hralign="center" o:hrstd="t" o:hr="t"/>
        </w:pict>
      </w:r>
    </w:p>
    <w:bookmarkEnd w:id="21"/>
    <w:bookmarkStart w:id="22" w:name="contents"/>
    <w:p>
      <w:pPr>
        <w:pStyle w:val="Heading2"/>
      </w:pPr>
      <w:r>
        <w:t xml:space="preserve">Contents</w:t>
      </w:r>
    </w:p>
    <w:tbl>
      <w:tblPr>
        <w:tblStyle w:val="Table"/>
        <w:tblW w:type="pct" w:w="5000"/>
        <w:tblLook w:firstRow="1" w:lastRow="0" w:firstColumn="0" w:lastColumn="0" w:noHBand="0" w:noVBand="0" w:val="0020"/>
        <w:jc w:val="start"/>
        <w:tblLayout w:type="autofit"/>
      </w:tblPr>
      <w:tblGrid>
        <w:gridCol w:w="3394"/>
        <w:gridCol w:w="4525"/>
      </w:tblGrid>
      <w:tr>
        <w:trPr>
          <w:tblHeader w:val="true"/>
          <w:cantSplit/>
        </w:trPr>
        <w:tc>
          <w:tcPr>
            <w:tcW w:type="pct" w:w="2143"/>
          </w:tcPr>
          <w:p>
            <w:pPr>
              <w:pStyle w:val="Compact"/>
              <w:jc w:val="left"/>
            </w:pPr>
            <w:r>
              <w:rPr>
                <w:b/>
                <w:sz w:val="20"/>
              </w:rPr>
              <w:t xml:space="preserve">Section</w:t>
            </w:r>
          </w:p>
        </w:tc>
        <w:tc>
          <w:tcPr>
            <w:tcW w:type="pct" w:w="2857"/>
          </w:tcPr>
          <w:p>
            <w:pPr>
              <w:pStyle w:val="Compact"/>
              <w:jc w:val="right"/>
            </w:pPr>
            <w:r>
              <w:rPr>
                <w:b/>
                <w:sz w:val="20"/>
              </w:rPr>
              <w:t xml:space="preserve">Page</w:t>
            </w:r>
          </w:p>
        </w:tc>
      </w:tr>
      <w:tr>
        <w:trPr>
          <w:cantSplit/>
        </w:trPr>
        <w:tc>
          <w:tcPr>
            <w:tcW w:type="pct" w:w="2143"/>
          </w:tcPr>
          <w:p>
            <w:pPr>
              <w:pStyle w:val="Compact"/>
              <w:jc w:val="left"/>
            </w:pPr>
            <w:r>
              <w:rPr>
                <w:sz w:val="20"/>
              </w:rPr>
              <w:t xml:space="preserve">Executive Summary</w:t>
            </w:r>
          </w:p>
        </w:tc>
        <w:tc>
          <w:tcPr>
            <w:tcW w:type="pct" w:w="2857"/>
          </w:tcPr>
          <w:p>
            <w:pPr>
              <w:pStyle w:val="Compact"/>
              <w:jc w:val="right"/>
            </w:pPr>
            <w:r>
              <w:rPr>
                <w:sz w:val="20"/>
              </w:rPr>
              <w:t xml:space="preserve">2</w:t>
            </w:r>
          </w:p>
        </w:tc>
      </w:tr>
      <w:tr>
        <w:trPr>
          <w:cantSplit/>
        </w:trPr>
        <w:tc>
          <w:tcPr>
            <w:tcW w:type="pct" w:w="2143"/>
          </w:tcPr>
          <w:p>
            <w:pPr>
              <w:pStyle w:val="Compact"/>
              <w:jc w:val="left"/>
            </w:pPr>
            <w:r>
              <w:rPr>
                <w:sz w:val="20"/>
              </w:rPr>
              <w:t xml:space="preserve">Introduction</w:t>
            </w:r>
          </w:p>
        </w:tc>
        <w:tc>
          <w:tcPr>
            <w:tcW w:type="pct" w:w="2857"/>
          </w:tcPr>
          <w:p>
            <w:pPr>
              <w:pStyle w:val="Compact"/>
              <w:jc w:val="right"/>
            </w:pPr>
            <w:r>
              <w:rPr>
                <w:sz w:val="20"/>
              </w:rPr>
              <w:t xml:space="preserve">3</w:t>
            </w:r>
          </w:p>
        </w:tc>
      </w:tr>
      <w:tr>
        <w:trPr>
          <w:cantSplit/>
        </w:trPr>
        <w:tc>
          <w:tcPr>
            <w:tcW w:type="pct" w:w="2143"/>
          </w:tcPr>
          <w:p>
            <w:pPr>
              <w:pStyle w:val="Compact"/>
              <w:jc w:val="left"/>
            </w:pPr>
            <w:r>
              <w:rPr>
                <w:sz w:val="20"/>
              </w:rPr>
              <w:t xml:space="preserve">Literature Review</w:t>
            </w:r>
          </w:p>
        </w:tc>
        <w:tc>
          <w:tcPr>
            <w:tcW w:type="pct" w:w="2857"/>
          </w:tcPr>
          <w:p>
            <w:pPr>
              <w:pStyle w:val="Compact"/>
              <w:jc w:val="right"/>
            </w:pPr>
            <w:r>
              <w:rPr>
                <w:sz w:val="20"/>
              </w:rPr>
              <w:t xml:space="preserve">5</w:t>
            </w:r>
          </w:p>
        </w:tc>
      </w:tr>
      <w:tr>
        <w:trPr>
          <w:cantSplit/>
        </w:trPr>
        <w:tc>
          <w:tcPr>
            <w:tcW w:type="pct" w:w="2143"/>
          </w:tcPr>
          <w:p>
            <w:pPr>
              <w:pStyle w:val="Compact"/>
              <w:jc w:val="left"/>
            </w:pPr>
            <w:r>
              <w:rPr>
                <w:sz w:val="20"/>
              </w:rPr>
              <w:t xml:space="preserve">Conceptual Framework</w:t>
            </w:r>
          </w:p>
        </w:tc>
        <w:tc>
          <w:tcPr>
            <w:tcW w:type="pct" w:w="2857"/>
          </w:tcPr>
          <w:p>
            <w:pPr>
              <w:pStyle w:val="Compact"/>
              <w:jc w:val="right"/>
            </w:pPr>
            <w:r>
              <w:rPr>
                <w:sz w:val="20"/>
              </w:rPr>
              <w:t xml:space="preserve">8</w:t>
            </w:r>
          </w:p>
        </w:tc>
      </w:tr>
      <w:tr>
        <w:trPr>
          <w:cantSplit/>
        </w:trPr>
        <w:tc>
          <w:tcPr>
            <w:tcW w:type="pct" w:w="2143"/>
          </w:tcPr>
          <w:p>
            <w:pPr>
              <w:pStyle w:val="Compact"/>
              <w:jc w:val="left"/>
            </w:pPr>
            <w:r>
              <w:rPr>
                <w:sz w:val="20"/>
              </w:rPr>
              <w:t xml:space="preserve">    Hypothesised Preconditions</w:t>
            </w:r>
          </w:p>
        </w:tc>
        <w:tc>
          <w:tcPr>
            <w:tcW w:type="pct" w:w="2857"/>
          </w:tcPr>
          <w:p>
            <w:pPr>
              <w:pStyle w:val="Compact"/>
              <w:jc w:val="right"/>
            </w:pPr>
            <w:r>
              <w:rPr>
                <w:sz w:val="20"/>
              </w:rPr>
              <w:t xml:space="preserve">14</w:t>
            </w:r>
          </w:p>
        </w:tc>
      </w:tr>
      <w:tr>
        <w:trPr>
          <w:cantSplit/>
        </w:trPr>
        <w:tc>
          <w:tcPr>
            <w:tcW w:type="pct" w:w="2143"/>
          </w:tcPr>
          <w:p>
            <w:pPr>
              <w:pStyle w:val="Compact"/>
              <w:jc w:val="left"/>
            </w:pPr>
            <w:r>
              <w:rPr>
                <w:sz w:val="20"/>
              </w:rPr>
              <w:t xml:space="preserve">Methodology</w:t>
            </w:r>
          </w:p>
        </w:tc>
        <w:tc>
          <w:tcPr>
            <w:tcW w:type="pct" w:w="2857"/>
          </w:tcPr>
          <w:p>
            <w:pPr>
              <w:pStyle w:val="Compact"/>
              <w:jc w:val="right"/>
            </w:pPr>
            <w:r>
              <w:rPr>
                <w:sz w:val="20"/>
              </w:rPr>
              <w:t xml:space="preserve">24</w:t>
            </w:r>
          </w:p>
        </w:tc>
      </w:tr>
      <w:tr>
        <w:trPr>
          <w:cantSplit/>
        </w:trPr>
        <w:tc>
          <w:tcPr>
            <w:tcW w:type="pct" w:w="2143"/>
          </w:tcPr>
          <w:p>
            <w:pPr>
              <w:pStyle w:val="Compact"/>
              <w:jc w:val="left"/>
            </w:pPr>
            <w:r>
              <w:rPr>
                <w:sz w:val="20"/>
              </w:rPr>
              <w:t xml:space="preserve">Historical Cases</w:t>
            </w:r>
          </w:p>
        </w:tc>
        <w:tc>
          <w:tcPr>
            <w:tcW w:type="pct" w:w="2857"/>
          </w:tcPr>
          <w:p>
            <w:pPr>
              <w:pStyle w:val="Compact"/>
              <w:jc w:val="right"/>
            </w:pPr>
            <w:r>
              <w:rPr>
                <w:sz w:val="20"/>
              </w:rPr>
              <w:t xml:space="preserve">26</w:t>
            </w:r>
          </w:p>
        </w:tc>
      </w:tr>
      <w:tr>
        <w:trPr>
          <w:cantSplit/>
        </w:trPr>
        <w:tc>
          <w:tcPr>
            <w:tcW w:type="pct" w:w="2143"/>
          </w:tcPr>
          <w:p>
            <w:pPr>
              <w:pStyle w:val="Compact"/>
              <w:jc w:val="left"/>
            </w:pPr>
            <w:r>
              <w:rPr>
                <w:sz w:val="20"/>
              </w:rPr>
              <w:t xml:space="preserve">    Case 1 — Pike and Church: One Disclosure Dispute in Two Chambers (1975–1976)</w:t>
            </w:r>
          </w:p>
        </w:tc>
        <w:tc>
          <w:tcPr>
            <w:tcW w:type="pct" w:w="2857"/>
          </w:tcPr>
          <w:p>
            <w:pPr>
              <w:pStyle w:val="Compact"/>
              <w:jc w:val="right"/>
            </w:pPr>
            <w:r>
              <w:rPr>
                <w:sz w:val="20"/>
              </w:rPr>
              <w:t xml:space="preserve">26</w:t>
            </w:r>
          </w:p>
        </w:tc>
      </w:tr>
      <w:tr>
        <w:trPr>
          <w:cantSplit/>
        </w:trPr>
        <w:tc>
          <w:tcPr>
            <w:tcW w:type="pct" w:w="2143"/>
          </w:tcPr>
          <w:p>
            <w:pPr>
              <w:pStyle w:val="Compact"/>
              <w:jc w:val="left"/>
            </w:pPr>
            <w:r>
              <w:rPr>
                <w:sz w:val="20"/>
              </w:rPr>
              <w:t xml:space="preserve">    Case 2 — Iran-Contra: Investigation after Exposure (1986–1991)</w:t>
            </w:r>
          </w:p>
        </w:tc>
        <w:tc>
          <w:tcPr>
            <w:tcW w:type="pct" w:w="2857"/>
          </w:tcPr>
          <w:p>
            <w:pPr>
              <w:pStyle w:val="Compact"/>
              <w:jc w:val="right"/>
            </w:pPr>
            <w:r>
              <w:rPr>
                <w:sz w:val="20"/>
              </w:rPr>
              <w:t xml:space="preserve">29</w:t>
            </w:r>
          </w:p>
        </w:tc>
      </w:tr>
      <w:tr>
        <w:trPr>
          <w:cantSplit/>
        </w:trPr>
        <w:tc>
          <w:tcPr>
            <w:tcW w:type="pct" w:w="2143"/>
          </w:tcPr>
          <w:p>
            <w:pPr>
              <w:pStyle w:val="Compact"/>
              <w:jc w:val="left"/>
            </w:pPr>
            <w:r>
              <w:rPr>
                <w:sz w:val="20"/>
              </w:rPr>
              <w:t xml:space="preserve">    Case 3 — NSA Bulk Collection: Constraint Built into the Program (2001–2015)</w:t>
            </w:r>
          </w:p>
        </w:tc>
        <w:tc>
          <w:tcPr>
            <w:tcW w:type="pct" w:w="2857"/>
          </w:tcPr>
          <w:p>
            <w:pPr>
              <w:pStyle w:val="Compact"/>
              <w:jc w:val="right"/>
            </w:pPr>
            <w:r>
              <w:rPr>
                <w:sz w:val="20"/>
              </w:rPr>
              <w:t xml:space="preserve">32</w:t>
            </w:r>
          </w:p>
        </w:tc>
      </w:tr>
      <w:tr>
        <w:trPr>
          <w:cantSplit/>
        </w:trPr>
        <w:tc>
          <w:tcPr>
            <w:tcW w:type="pct" w:w="2143"/>
          </w:tcPr>
          <w:p>
            <w:pPr>
              <w:pStyle w:val="Compact"/>
              <w:jc w:val="left"/>
            </w:pPr>
            <w:r>
              <w:rPr>
                <w:sz w:val="20"/>
              </w:rPr>
              <w:t xml:space="preserve">    Case 4 — The CIA Interrogation Program: Investigation under Counter-Pressure (2002–2014)</w:t>
            </w:r>
          </w:p>
        </w:tc>
        <w:tc>
          <w:tcPr>
            <w:tcW w:type="pct" w:w="2857"/>
          </w:tcPr>
          <w:p>
            <w:pPr>
              <w:pStyle w:val="Compact"/>
              <w:jc w:val="right"/>
            </w:pPr>
            <w:r>
              <w:rPr>
                <w:sz w:val="20"/>
              </w:rPr>
              <w:t xml:space="preserve">34</w:t>
            </w:r>
          </w:p>
        </w:tc>
      </w:tr>
      <w:tr>
        <w:trPr>
          <w:cantSplit/>
        </w:trPr>
        <w:tc>
          <w:tcPr>
            <w:tcW w:type="pct" w:w="2143"/>
          </w:tcPr>
          <w:p>
            <w:pPr>
              <w:pStyle w:val="Compact"/>
              <w:jc w:val="left"/>
            </w:pPr>
            <w:r>
              <w:rPr>
                <w:sz w:val="20"/>
              </w:rPr>
              <w:t xml:space="preserve">Contemporary Congruence Assessment: EFTA</w:t>
            </w:r>
          </w:p>
        </w:tc>
        <w:tc>
          <w:tcPr>
            <w:tcW w:type="pct" w:w="2857"/>
          </w:tcPr>
          <w:p>
            <w:pPr>
              <w:pStyle w:val="Compact"/>
              <w:jc w:val="right"/>
            </w:pPr>
            <w:r>
              <w:rPr>
                <w:sz w:val="20"/>
              </w:rPr>
              <w:t xml:space="preserve">39</w:t>
            </w:r>
          </w:p>
        </w:tc>
      </w:tr>
      <w:tr>
        <w:trPr>
          <w:cantSplit/>
        </w:trPr>
        <w:tc>
          <w:tcPr>
            <w:tcW w:type="pct" w:w="2143"/>
          </w:tcPr>
          <w:p>
            <w:pPr>
              <w:pStyle w:val="Compact"/>
              <w:jc w:val="left"/>
            </w:pPr>
            <w:r>
              <w:rPr>
                <w:sz w:val="20"/>
              </w:rPr>
              <w:t xml:space="preserve">    The Scandal</w:t>
            </w:r>
          </w:p>
        </w:tc>
        <w:tc>
          <w:tcPr>
            <w:tcW w:type="pct" w:w="2857"/>
          </w:tcPr>
          <w:p>
            <w:pPr>
              <w:pStyle w:val="Compact"/>
              <w:jc w:val="right"/>
            </w:pPr>
            <w:r>
              <w:rPr>
                <w:sz w:val="20"/>
              </w:rPr>
              <w:t xml:space="preserve">40</w:t>
            </w:r>
          </w:p>
        </w:tc>
      </w:tr>
      <w:tr>
        <w:trPr>
          <w:cantSplit/>
        </w:trPr>
        <w:tc>
          <w:tcPr>
            <w:tcW w:type="pct" w:w="2143"/>
          </w:tcPr>
          <w:p>
            <w:pPr>
              <w:pStyle w:val="Compact"/>
              <w:jc w:val="left"/>
            </w:pPr>
            <w:r>
              <w:rPr>
                <w:sz w:val="20"/>
              </w:rPr>
              <w:t xml:space="preserve">    The Congressional Request</w:t>
            </w:r>
          </w:p>
        </w:tc>
        <w:tc>
          <w:tcPr>
            <w:tcW w:type="pct" w:w="2857"/>
          </w:tcPr>
          <w:p>
            <w:pPr>
              <w:pStyle w:val="Compact"/>
              <w:jc w:val="right"/>
            </w:pPr>
            <w:r>
              <w:rPr>
                <w:sz w:val="20"/>
              </w:rPr>
              <w:t xml:space="preserve">40</w:t>
            </w:r>
          </w:p>
        </w:tc>
      </w:tr>
      <w:tr>
        <w:trPr>
          <w:cantSplit/>
        </w:trPr>
        <w:tc>
          <w:tcPr>
            <w:tcW w:type="pct" w:w="2143"/>
          </w:tcPr>
          <w:p>
            <w:pPr>
              <w:pStyle w:val="Compact"/>
              <w:jc w:val="left"/>
            </w:pPr>
            <w:r>
              <w:rPr>
                <w:sz w:val="20"/>
              </w:rPr>
              <w:t xml:space="preserve">    The Executive Offer</w:t>
            </w:r>
          </w:p>
        </w:tc>
        <w:tc>
          <w:tcPr>
            <w:tcW w:type="pct" w:w="2857"/>
          </w:tcPr>
          <w:p>
            <w:pPr>
              <w:pStyle w:val="Compact"/>
              <w:jc w:val="right"/>
            </w:pPr>
            <w:r>
              <w:rPr>
                <w:sz w:val="20"/>
              </w:rPr>
              <w:t xml:space="preserve">41</w:t>
            </w:r>
          </w:p>
        </w:tc>
      </w:tr>
      <w:tr>
        <w:trPr>
          <w:cantSplit/>
        </w:trPr>
        <w:tc>
          <w:tcPr>
            <w:tcW w:type="pct" w:w="2143"/>
          </w:tcPr>
          <w:p>
            <w:pPr>
              <w:pStyle w:val="Compact"/>
              <w:jc w:val="left"/>
            </w:pPr>
            <w:r>
              <w:rPr>
                <w:sz w:val="20"/>
              </w:rPr>
              <w:t xml:space="preserve">    The Congressional and Judicial Response</w:t>
            </w:r>
          </w:p>
        </w:tc>
        <w:tc>
          <w:tcPr>
            <w:tcW w:type="pct" w:w="2857"/>
          </w:tcPr>
          <w:p>
            <w:pPr>
              <w:pStyle w:val="Compact"/>
              <w:jc w:val="right"/>
            </w:pPr>
            <w:r>
              <w:rPr>
                <w:sz w:val="20"/>
              </w:rPr>
              <w:t xml:space="preserve">52</w:t>
            </w:r>
          </w:p>
        </w:tc>
      </w:tr>
      <w:tr>
        <w:trPr>
          <w:cantSplit/>
        </w:trPr>
        <w:tc>
          <w:tcPr>
            <w:tcW w:type="pct" w:w="2143"/>
          </w:tcPr>
          <w:p>
            <w:pPr>
              <w:pStyle w:val="Compact"/>
              <w:jc w:val="left"/>
            </w:pPr>
            <w:r>
              <w:rPr>
                <w:sz w:val="20"/>
              </w:rPr>
              <w:t xml:space="preserve">    The cumulative reading</w:t>
            </w:r>
          </w:p>
        </w:tc>
        <w:tc>
          <w:tcPr>
            <w:tcW w:type="pct" w:w="2857"/>
          </w:tcPr>
          <w:p>
            <w:pPr>
              <w:pStyle w:val="Compact"/>
              <w:jc w:val="right"/>
            </w:pPr>
            <w:r>
              <w:rPr>
                <w:sz w:val="20"/>
              </w:rPr>
              <w:t xml:space="preserve">55</w:t>
            </w:r>
          </w:p>
        </w:tc>
      </w:tr>
      <w:tr>
        <w:trPr>
          <w:cantSplit/>
        </w:trPr>
        <w:tc>
          <w:tcPr>
            <w:tcW w:type="pct" w:w="2143"/>
          </w:tcPr>
          <w:p>
            <w:pPr>
              <w:pStyle w:val="Compact"/>
              <w:jc w:val="left"/>
            </w:pPr>
            <w:r>
              <w:rPr>
                <w:sz w:val="20"/>
              </w:rPr>
              <w:t xml:space="preserve">    Rival hypothesis: partisan alignment</w:t>
            </w:r>
          </w:p>
        </w:tc>
        <w:tc>
          <w:tcPr>
            <w:tcW w:type="pct" w:w="2857"/>
          </w:tcPr>
          <w:p>
            <w:pPr>
              <w:pStyle w:val="Compact"/>
              <w:jc w:val="right"/>
            </w:pPr>
            <w:r>
              <w:rPr>
                <w:sz w:val="20"/>
              </w:rPr>
              <w:t xml:space="preserve">58</w:t>
            </w:r>
          </w:p>
        </w:tc>
      </w:tr>
      <w:tr>
        <w:trPr>
          <w:cantSplit/>
        </w:trPr>
        <w:tc>
          <w:tcPr>
            <w:tcW w:type="pct" w:w="2143"/>
          </w:tcPr>
          <w:p>
            <w:pPr>
              <w:pStyle w:val="Compact"/>
              <w:jc w:val="left"/>
            </w:pPr>
            <w:r>
              <w:rPr>
                <w:sz w:val="20"/>
              </w:rPr>
              <w:t xml:space="preserve">Implications</w:t>
            </w:r>
          </w:p>
        </w:tc>
        <w:tc>
          <w:tcPr>
            <w:tcW w:type="pct" w:w="2857"/>
          </w:tcPr>
          <w:p>
            <w:pPr>
              <w:pStyle w:val="Compact"/>
              <w:jc w:val="right"/>
            </w:pPr>
            <w:r>
              <w:rPr>
                <w:sz w:val="20"/>
              </w:rPr>
              <w:t xml:space="preserve">59</w:t>
            </w:r>
          </w:p>
        </w:tc>
      </w:tr>
      <w:tr>
        <w:trPr>
          <w:cantSplit/>
        </w:trPr>
        <w:tc>
          <w:tcPr>
            <w:tcW w:type="pct" w:w="2143"/>
          </w:tcPr>
          <w:p>
            <w:pPr>
              <w:pStyle w:val="Compact"/>
              <w:jc w:val="left"/>
            </w:pPr>
            <w:r>
              <w:rPr>
                <w:sz w:val="20"/>
              </w:rPr>
              <w:t xml:space="preserve">Recommendations</w:t>
            </w:r>
          </w:p>
        </w:tc>
        <w:tc>
          <w:tcPr>
            <w:tcW w:type="pct" w:w="2857"/>
          </w:tcPr>
          <w:p>
            <w:pPr>
              <w:pStyle w:val="Compact"/>
              <w:jc w:val="right"/>
            </w:pPr>
            <w:r>
              <w:rPr>
                <w:sz w:val="20"/>
              </w:rPr>
              <w:t xml:space="preserve">63</w:t>
            </w:r>
          </w:p>
        </w:tc>
      </w:tr>
      <w:tr>
        <w:trPr>
          <w:cantSplit/>
        </w:trPr>
        <w:tc>
          <w:tcPr>
            <w:tcW w:type="pct" w:w="2143"/>
          </w:tcPr>
          <w:p>
            <w:pPr>
              <w:pStyle w:val="Compact"/>
              <w:jc w:val="left"/>
            </w:pPr>
            <w:r>
              <w:rPr>
                <w:sz w:val="20"/>
              </w:rPr>
              <w:t xml:space="preserve">Conclusion</w:t>
            </w:r>
          </w:p>
        </w:tc>
        <w:tc>
          <w:tcPr>
            <w:tcW w:type="pct" w:w="2857"/>
          </w:tcPr>
          <w:p>
            <w:pPr>
              <w:pStyle w:val="Compact"/>
              <w:jc w:val="right"/>
            </w:pPr>
            <w:r>
              <w:rPr>
                <w:sz w:val="20"/>
              </w:rPr>
              <w:t xml:space="preserve">70</w:t>
            </w:r>
          </w:p>
        </w:tc>
      </w:tr>
      <w:tr>
        <w:trPr>
          <w:cantSplit/>
        </w:trPr>
        <w:tc>
          <w:tcPr>
            <w:tcW w:type="pct" w:w="2143"/>
          </w:tcPr>
          <w:p>
            <w:pPr>
              <w:pStyle w:val="Compact"/>
              <w:jc w:val="left"/>
            </w:pPr>
            <w:r>
              <w:rPr>
                <w:sz w:val="20"/>
              </w:rPr>
              <w:t xml:space="preserve">Appendix A — EFTA Document Redactions Quantitative Analysis</w:t>
            </w:r>
          </w:p>
        </w:tc>
        <w:tc>
          <w:tcPr>
            <w:tcW w:type="pct" w:w="2857"/>
          </w:tcPr>
          <w:p>
            <w:pPr>
              <w:pStyle w:val="Compact"/>
              <w:jc w:val="right"/>
            </w:pPr>
            <w:r>
              <w:rPr>
                <w:sz w:val="20"/>
              </w:rPr>
              <w:t xml:space="preserve">70</w:t>
            </w:r>
          </w:p>
        </w:tc>
      </w:tr>
      <w:tr>
        <w:trPr>
          <w:cantSplit/>
        </w:trPr>
        <w:tc>
          <w:tcPr>
            <w:tcW w:type="pct" w:w="2143"/>
          </w:tcPr>
          <w:p>
            <w:pPr>
              <w:pStyle w:val="Compact"/>
              <w:jc w:val="left"/>
            </w:pPr>
            <w:r>
              <w:rPr>
                <w:sz w:val="20"/>
              </w:rPr>
              <w:t xml:space="preserve">    A.1 Scope, Corpus, and Limits</w:t>
            </w:r>
          </w:p>
        </w:tc>
        <w:tc>
          <w:tcPr>
            <w:tcW w:type="pct" w:w="2857"/>
          </w:tcPr>
          <w:p>
            <w:pPr>
              <w:pStyle w:val="Compact"/>
              <w:jc w:val="right"/>
            </w:pPr>
            <w:r>
              <w:rPr>
                <w:sz w:val="20"/>
              </w:rPr>
              <w:t xml:space="preserve">71</w:t>
            </w:r>
          </w:p>
        </w:tc>
      </w:tr>
      <w:tr>
        <w:trPr>
          <w:cantSplit/>
        </w:trPr>
        <w:tc>
          <w:tcPr>
            <w:tcW w:type="pct" w:w="2143"/>
          </w:tcPr>
          <w:p>
            <w:pPr>
              <w:pStyle w:val="Compact"/>
              <w:jc w:val="left"/>
            </w:pPr>
            <w:r>
              <w:rPr>
                <w:sz w:val="20"/>
              </w:rPr>
              <w:t xml:space="preserve">    A.2 Methodology</w:t>
            </w:r>
          </w:p>
        </w:tc>
        <w:tc>
          <w:tcPr>
            <w:tcW w:type="pct" w:w="2857"/>
          </w:tcPr>
          <w:p>
            <w:pPr>
              <w:pStyle w:val="Compact"/>
              <w:jc w:val="right"/>
            </w:pPr>
            <w:r>
              <w:rPr>
                <w:sz w:val="20"/>
              </w:rPr>
              <w:t xml:space="preserve">72</w:t>
            </w:r>
          </w:p>
        </w:tc>
      </w:tr>
      <w:tr>
        <w:trPr>
          <w:cantSplit/>
        </w:trPr>
        <w:tc>
          <w:tcPr>
            <w:tcW w:type="pct" w:w="2143"/>
          </w:tcPr>
          <w:p>
            <w:pPr>
              <w:pStyle w:val="Compact"/>
              <w:jc w:val="left"/>
            </w:pPr>
            <w:r>
              <w:rPr>
                <w:sz w:val="20"/>
              </w:rPr>
              <w:t xml:space="preserve">    A.3 Findings</w:t>
            </w:r>
          </w:p>
        </w:tc>
        <w:tc>
          <w:tcPr>
            <w:tcW w:type="pct" w:w="2857"/>
          </w:tcPr>
          <w:p>
            <w:pPr>
              <w:pStyle w:val="Compact"/>
              <w:jc w:val="right"/>
            </w:pPr>
            <w:r>
              <w:rPr>
                <w:sz w:val="20"/>
              </w:rPr>
              <w:t xml:space="preserve">74</w:t>
            </w:r>
          </w:p>
        </w:tc>
      </w:tr>
      <w:tr>
        <w:trPr>
          <w:cantSplit/>
        </w:trPr>
        <w:tc>
          <w:tcPr>
            <w:tcW w:type="pct" w:w="2143"/>
          </w:tcPr>
          <w:p>
            <w:pPr>
              <w:pStyle w:val="Compact"/>
              <w:jc w:val="left"/>
            </w:pPr>
            <w:r>
              <w:rPr>
                <w:sz w:val="20"/>
              </w:rPr>
              <w:t xml:space="preserve">    A.4 Conclusion</w:t>
            </w:r>
          </w:p>
        </w:tc>
        <w:tc>
          <w:tcPr>
            <w:tcW w:type="pct" w:w="2857"/>
          </w:tcPr>
          <w:p>
            <w:pPr>
              <w:pStyle w:val="Compact"/>
              <w:jc w:val="right"/>
            </w:pPr>
            <w:r>
              <w:rPr>
                <w:sz w:val="20"/>
              </w:rPr>
              <w:t xml:space="preserve">77</w:t>
            </w:r>
          </w:p>
        </w:tc>
      </w:tr>
      <w:tr>
        <w:trPr>
          <w:cantSplit/>
        </w:trPr>
        <w:tc>
          <w:tcPr>
            <w:tcW w:type="pct" w:w="2143"/>
          </w:tcPr>
          <w:p>
            <w:pPr>
              <w:pStyle w:val="Compact"/>
              <w:jc w:val="left"/>
            </w:pPr>
            <w:r>
              <w:rPr>
                <w:sz w:val="20"/>
              </w:rPr>
              <w:t xml:space="preserve">    A.5 References</w:t>
            </w:r>
          </w:p>
        </w:tc>
        <w:tc>
          <w:tcPr>
            <w:tcW w:type="pct" w:w="2857"/>
          </w:tcPr>
          <w:p>
            <w:pPr>
              <w:pStyle w:val="Compact"/>
              <w:jc w:val="right"/>
            </w:pPr>
            <w:r>
              <w:rPr>
                <w:sz w:val="20"/>
              </w:rPr>
              <w:t xml:space="preserve">78</w:t>
            </w:r>
          </w:p>
        </w:tc>
      </w:tr>
      <w:tr>
        <w:trPr>
          <w:cantSplit/>
        </w:trPr>
        <w:tc>
          <w:tcPr>
            <w:tcW w:type="pct" w:w="2143"/>
          </w:tcPr>
          <w:p>
            <w:pPr>
              <w:pStyle w:val="Compact"/>
              <w:jc w:val="left"/>
            </w:pPr>
            <w:r>
              <w:rPr>
                <w:sz w:val="20"/>
              </w:rPr>
              <w:t xml:space="preserve">Appendix B — Per-Indicator Coding Evidence (Historical Cases)</w:t>
            </w:r>
          </w:p>
        </w:tc>
        <w:tc>
          <w:tcPr>
            <w:tcW w:type="pct" w:w="2857"/>
          </w:tcPr>
          <w:p>
            <w:pPr>
              <w:pStyle w:val="Compact"/>
              <w:jc w:val="right"/>
            </w:pPr>
            <w:r>
              <w:rPr>
                <w:sz w:val="20"/>
              </w:rPr>
              <w:t xml:space="preserve">78</w:t>
            </w:r>
          </w:p>
        </w:tc>
      </w:tr>
      <w:tr>
        <w:trPr>
          <w:cantSplit/>
        </w:trPr>
        <w:tc>
          <w:tcPr>
            <w:tcW w:type="pct" w:w="2143"/>
          </w:tcPr>
          <w:p>
            <w:pPr>
              <w:pStyle w:val="Compact"/>
              <w:jc w:val="left"/>
            </w:pPr>
            <w:r>
              <w:rPr>
                <w:sz w:val="20"/>
              </w:rPr>
              <w:t xml:space="preserve">Appendix C — Statutory Openings, Enforcement Routes, and Remedy Matrix</w:t>
            </w:r>
          </w:p>
        </w:tc>
        <w:tc>
          <w:tcPr>
            <w:tcW w:type="pct" w:w="2857"/>
          </w:tcPr>
          <w:p>
            <w:pPr>
              <w:pStyle w:val="Compact"/>
              <w:jc w:val="right"/>
            </w:pPr>
            <w:r>
              <w:rPr>
                <w:sz w:val="20"/>
              </w:rPr>
              <w:t xml:space="preserve">118</w:t>
            </w:r>
          </w:p>
        </w:tc>
      </w:tr>
    </w:tbl>
    <w:p>
      <w:r>
        <w:pict>
          <v:rect style="width:0;height:1.5pt" o:hralign="center" o:hrstd="t" o:hr="t"/>
        </w:pict>
      </w:r>
    </w:p>
    <w:bookmarkEnd w:id="22"/>
    <w:bookmarkStart w:id="29" w:name="introduction"/>
    <w:p>
      <w:pPr>
        <w:pStyle w:val="Heading2"/>
      </w:pPr>
      <w:r>
        <w:t xml:space="preserve">Introduction</w:t>
      </w:r>
    </w:p>
    <w:p>
      <w:pPr>
        <w:pStyle w:val="FirstParagraph"/>
      </w:pPr>
      <w:r>
        <w:t xml:space="preserve">In the half-century since the Pike and Church committees of 1975–76, the United States has built an elaborate architecture of intelligence oversight: the Hughes-Ryan Amendment, the Foreign Intelligence Surveillance Act (FISA), permanent intelligence committees in both chambers, the Inspector General Act, the Privacy and Civil Liberties Oversight Board, the USA FREEDOM Act, and the anti-torture provisions of the National Defense Authorization Act (NDAA) for fiscal year 2016.</w:t>
      </w:r>
      <w:r>
        <w:rPr>
          <w:rStyle w:val="FootnoteReference"/>
        </w:rPr>
        <w:footnoteReference w:id="23"/>
      </w:r>
      <w:r>
        <w:t xml:space="preserve"> </w:t>
      </w:r>
      <w:r>
        <w:t xml:space="preserve">Yet selective disclosure, disputes over what compliance requires, uneven congressional escalation, and external rupture recur across decades, alongside reforms whose reach is contested.</w:t>
      </w:r>
    </w:p>
    <w:p>
      <w:pPr>
        <w:pStyle w:val="BodyText"/>
      </w:pPr>
      <w:r>
        <w:t xml:space="preserve">Institutional scholarship already identifies electoral incentives, fragmented jurisdiction, secrecy, and executive control of access, alongside staffing and expertise.</w:t>
      </w:r>
      <w:r>
        <w:rPr>
          <w:rStyle w:val="FootnoteReference"/>
        </w:rPr>
        <w:footnoteReference w:id="24"/>
      </w:r>
      <w:r>
        <w:t xml:space="preserve"> </w:t>
      </w:r>
      <w:r>
        <w:t xml:space="preserve">These explanations are not reducible to incapacity. By 2014 the Senate intelligence committee had produced a study of more than 6,700 pages, but only its executive summary and its findings and conclusions became public; the Central Intelligence Agency (CIA) had searched committee staff computers and referred staff conduct to the Department of Justice (DOJ).</w:t>
      </w:r>
      <w:r>
        <w:rPr>
          <w:rStyle w:val="FootnoteReference"/>
        </w:rPr>
        <w:footnoteReference w:id="25"/>
      </w:r>
      <w:r>
        <w:t xml:space="preserve"> </w:t>
      </w:r>
      <w:r>
        <w:t xml:space="preserve">The episode illustrates a distinction this paper develops: substantial investigative capacity can coexist with restricted publication and weak individual accountability. It also produced policy and institutional consequences that a blanket failure verdict would conceal.</w:t>
      </w:r>
    </w:p>
    <w:p>
      <w:pPr>
        <w:pStyle w:val="BodyText"/>
      </w:pPr>
      <w:r>
        <w:t xml:space="preserve">This paper offers a descriptive synthesis of those structural explanations, organized as a bargaining vocabulary. Information asymmetry, incentive misalignment, weak enforcement capacity, and limited expertise can shift oversight from compelled into negotiated compliance. Selective disclosure becomes an executive offer, while non-escalation can function as acceptance. This does not establish shared motives to stage an empty check: the same behavior can reflect disagreement, privacy constraints, anticipated legal defeat, or a strategic decision to secure partial gains.</w:t>
      </w:r>
      <w:r>
        <w:t xml:space="preserve"> </w:t>
      </w:r>
      <w:r>
        <w:rPr>
          <w:iCs/>
          <w:i/>
        </w:rPr>
        <w:t xml:space="preserve">Constrained negotiated oversight</w:t>
      </w:r>
      <w:r>
        <w:t xml:space="preserve"> </w:t>
      </w:r>
      <w:r>
        <w:t xml:space="preserve">names the recurring configuration to be described, not an assumed absence of substantive oversight.</w:t>
      </w:r>
    </w:p>
    <w:p>
      <w:pPr>
        <w:pStyle w:val="BodyText"/>
      </w:pPr>
      <w:r>
        <w:t xml:space="preserve">The paper codes four historical episodes: Pike and Church (1975–76), Iran-Contra (1986–91), National Security Agency (NSA) bulk collection (2001–15), and the CIA Interrogation Program (2002–14). It adds the Watergate tapes dispute (1973–74) as a contrast and a contemporary congruence assessment of the Epstein Files Transparency Act (EFTA).</w:t>
      </w:r>
      <w:r>
        <w:rPr>
          <w:rStyle w:val="FootnoteReference"/>
        </w:rPr>
        <w:footnoteReference w:id="26"/>
      </w:r>
      <w:r>
        <w:t xml:space="preserve"> </w:t>
      </w:r>
      <w:r>
        <w:t xml:space="preserve">The evidence concerns U.S. constitutional institutions; extension to parliamentary or other national systems would require a different account of executive-legislative relations.</w:t>
      </w:r>
      <w:r>
        <w:rPr>
          <w:rStyle w:val="FootnoteReference"/>
        </w:rPr>
        <w:footnoteReference w:id="27"/>
      </w:r>
    </w:p>
    <w:p>
      <w:pPr>
        <w:pStyle w:val="BodyText"/>
      </w:pPr>
      <w:r>
        <w:t xml:space="preserve">The contribution is twofold. First, eight process indicators organize observable bargaining conduct, bracketed by the source of disclosure and individual-accountability outcomes.</w:t>
      </w:r>
      <w:r>
        <w:rPr>
          <w:rStyle w:val="FootnoteReference"/>
        </w:rPr>
        <w:footnoteReference w:id="28"/>
      </w:r>
      <w:r>
        <w:t xml:space="preserve"> </w:t>
      </w:r>
      <w:r>
        <w:t xml:space="preserve">Second, EFTA permits the paper to distinguish released-record measurements from legal compliance, and congressional action from judicial enforcement. The cases suggest that expanding information duties alone may leave important enforcement dependencies intact. They do not show that resources never help, that every negotiated settlement fails, or that structural remedies are sufficient. The recommendations therefore specify conditional institutional changes whose effects remain to be tested.</w:t>
      </w:r>
    </w:p>
    <w:p>
      <w:r>
        <w:pict>
          <v:rect style="width:0;height:1.5pt" o:hralign="center" o:hrstd="t" o:hr="t"/>
        </w:pict>
      </w:r>
    </w:p>
    <w:bookmarkEnd w:id="29"/>
    <w:bookmarkStart w:id="44" w:name="literature-review"/>
    <w:p>
      <w:pPr>
        <w:pStyle w:val="Heading2"/>
      </w:pPr>
      <w:r>
        <w:t xml:space="preserve">Literature Review</w:t>
      </w:r>
    </w:p>
    <w:p>
      <w:pPr>
        <w:pStyle w:val="FirstParagraph"/>
      </w:pPr>
      <w:r>
        <w:t xml:space="preserve">The underlying problem is old: inter-branch checking depends on information, and one branch holds it.</w:t>
      </w:r>
      <w:r>
        <w:rPr>
          <w:rStyle w:val="FootnoteReference"/>
        </w:rPr>
        <w:footnoteReference w:id="30"/>
      </w:r>
      <w:r>
        <w:t xml:space="preserve"> </w:t>
      </w:r>
      <w:r>
        <w:t xml:space="preserve">The Federalist authors recognized the executive’s advantage in secrecy and intelligence (Federalist Nos. 64 and 70) but did not theorize how asymmetric control of the</w:t>
      </w:r>
      <w:r>
        <w:t xml:space="preserve"> </w:t>
      </w:r>
      <w:r>
        <w:rPr>
          <w:iCs/>
          <w:i/>
        </w:rPr>
        <w:t xml:space="preserve">information</w:t>
      </w:r>
      <w:r>
        <w:t xml:space="preserve"> </w:t>
      </w:r>
      <w:r>
        <w:t xml:space="preserve">on which checking depends would affect the checks themselves. Covert-action authority under the National Security Act of 1947’s</w:t>
      </w:r>
      <w:r>
        <w:t xml:space="preserve"> </w:t>
      </w:r>
      <w:r>
        <w:t xml:space="preserve">“</w:t>
      </w:r>
      <w:r>
        <w:t xml:space="preserve">other functions and duties</w:t>
      </w:r>
      <w:r>
        <w:t xml:space="preserve">”</w:t>
      </w:r>
      <w:r>
        <w:t xml:space="preserve"> </w:t>
      </w:r>
      <w:r>
        <w:t xml:space="preserve">clause (§ 102(d)(5)), later constrained by Hughes-Ryan (1974), sits there. Senator Frank Church put the point this way in transmitting his committee’s report:</w:t>
      </w:r>
    </w:p>
    <w:p>
      <w:pPr>
        <w:pStyle w:val="BlockText"/>
      </w:pPr>
      <w:r>
        <w:t xml:space="preserve">The root cause of the excesses which our record amply demonstrates has been failure to apply the wisdom of the constitutional system of checks and balances to intelligence activities . . . . The founding fathers foresaw excess as the inevitable consequence of granting any part of government unchecked power. This has been demonstrated in the intelligence field where, too often, constitutional principles were subordinated to a pragmatic course of permitting desired ends to dictate and justify improper means. Our recommendations are designed to place intelligence activities within the constitutional scheme for controlling government power.</w:t>
      </w:r>
      <w:r>
        <w:rPr>
          <w:rStyle w:val="FootnoteReference"/>
        </w:rPr>
        <w:footnoteReference w:id="31"/>
      </w:r>
    </w:p>
    <w:p>
      <w:pPr>
        <w:pStyle w:val="FirstParagraph"/>
      </w:pPr>
      <w:r>
        <w:t xml:space="preserve">The closest literature supplies structural explanations the present framework inherits. Institutional histories trace Congress’s evolving oversight arrangements; Johnson describes a repeated pattern of shock, intense oversight, remedial legislation, and a return to weak patrolling.</w:t>
      </w:r>
      <w:r>
        <w:rPr>
          <w:rStyle w:val="FootnoteReference"/>
        </w:rPr>
        <w:footnoteReference w:id="32"/>
      </w:r>
      <w:r>
        <w:rPr>
          <w:vertAlign w:val="superscript"/>
        </w:rPr>
        <w:t xml:space="preserve">,</w:t>
      </w:r>
      <w:r>
        <w:rPr>
          <w:rStyle w:val="FootnoteReference"/>
        </w:rPr>
        <w:footnoteReference w:id="33"/>
      </w:r>
      <w:r>
        <w:rPr>
          <w:vertAlign w:val="superscript"/>
        </w:rPr>
        <w:t xml:space="preserve">,</w:t>
      </w:r>
      <w:r>
        <w:rPr>
          <w:rStyle w:val="FootnoteReference"/>
        </w:rPr>
        <w:footnoteReference w:id="34"/>
      </w:r>
      <w:r>
        <w:t xml:space="preserve"> </w:t>
      </w:r>
      <w:r>
        <w:t xml:space="preserve">Zegart’s account centers on rational political incentives that generate collectively weak oversight: committee arrangements and electoral rewards make intelligence oversight unattractive even where members possess formal powers.</w:t>
      </w:r>
      <w:r>
        <w:rPr>
          <w:vertAlign w:val="superscript"/>
        </w:rPr>
        <w:t xml:space="preserve">see n. 3</w:t>
      </w:r>
      <w:r>
        <w:t xml:space="preserve"> </w:t>
      </w:r>
      <w:r>
        <w:t xml:space="preserve">She attributes weak oversight to information, incentives, and institutions regardless of party; the increment claimed here is the sequence in which those factors operate within one episode and the separate recording of access, policy, institutional, and sanction outcomes. Kibbe likewise asks how oversight arrangements themselves can become part of the problem, and Clark shows how restricted briefings can inhibit consultation and make silence appear to endorse executive choices.</w:t>
      </w:r>
      <w:r>
        <w:rPr>
          <w:rStyle w:val="FootnoteReference"/>
        </w:rPr>
        <w:footnoteReference w:id="35"/>
      </w:r>
      <w:r>
        <w:t xml:space="preserve"> </w:t>
      </w:r>
      <w:r>
        <w:t xml:space="preserve">On the legal side, Koh traced the Iran-Contra affair to executive initiative, congressional acquiescence, and judicial tolerance, and a separate literature treats negotiated accommodation over information as the ordinary and usually adequate mode.</w:t>
      </w:r>
      <w:r>
        <w:rPr>
          <w:rStyle w:val="FootnoteReference"/>
        </w:rPr>
        <w:footnoteReference w:id="36"/>
      </w:r>
      <w:r>
        <w:t xml:space="preserve"> </w:t>
      </w:r>
      <w:r>
        <w:rPr>
          <w:iCs/>
          <w:i/>
        </w:rPr>
        <w:t xml:space="preserve">Constrained</w:t>
      </w:r>
      <w:r>
        <w:t xml:space="preserve"> </w:t>
      </w:r>
      <w:r>
        <w:t xml:space="preserve">adds a narrower condition: the record is access-restricted within Congress, limiting whom its recipients may consult and what they may verify or publish; custody alone marks every information dispute, the Watergate contrast included.</w:t>
      </w:r>
    </w:p>
    <w:p>
      <w:pPr>
        <w:pStyle w:val="BodyText"/>
      </w:pPr>
      <w:r>
        <w:t xml:space="preserve">Four adjacent frameworks bear on the argument. McCubbins and Schwartz’s</w:t>
      </w:r>
      <w:r>
        <w:t xml:space="preserve"> </w:t>
      </w:r>
      <w:r>
        <w:t xml:space="preserve">“</w:t>
      </w:r>
      <w:r>
        <w:t xml:space="preserve">police patrols versus fire alarms</w:t>
      </w:r>
      <w:r>
        <w:t xml:space="preserve">”</w:t>
      </w:r>
      <w:r>
        <w:t xml:space="preserve"> </w:t>
      </w:r>
      <w:r>
        <w:t xml:space="preserve">shows oversight rationally substitutes reactive monitoring for active patrol; fire alarms presuppose rules that let outsiders see agency conduct and complain about it, which classified domains largely lack, a limit Zegart identified.</w:t>
      </w:r>
      <w:r>
        <w:rPr>
          <w:rStyle w:val="FootnoteReference"/>
        </w:rPr>
        <w:footnoteReference w:id="37"/>
      </w:r>
      <w:r>
        <w:t xml:space="preserve"> </w:t>
      </w:r>
      <w:r>
        <w:t xml:space="preserve">Michael Glennon argues that a permanent</w:t>
      </w:r>
      <w:r>
        <w:t xml:space="preserve"> </w:t>
      </w:r>
      <w:r>
        <w:t xml:space="preserve">“</w:t>
      </w:r>
      <w:r>
        <w:t xml:space="preserve">Trumanite</w:t>
      </w:r>
      <w:r>
        <w:t xml:space="preserve">”</w:t>
      </w:r>
      <w:r>
        <w:t xml:space="preserve"> </w:t>
      </w:r>
      <w:r>
        <w:t xml:space="preserve">security network operates with effective independence from the elected</w:t>
      </w:r>
      <w:r>
        <w:t xml:space="preserve"> </w:t>
      </w:r>
      <w:r>
        <w:t xml:space="preserve">“</w:t>
      </w:r>
      <w:r>
        <w:t xml:space="preserve">Madisonian</w:t>
      </w:r>
      <w:r>
        <w:t xml:space="preserve">”</w:t>
      </w:r>
      <w:r>
        <w:t xml:space="preserve"> </w:t>
      </w:r>
      <w:r>
        <w:t xml:space="preserve">institutions that supply legitimacy; the bargaining vocabulary describes how the two interact.</w:t>
      </w:r>
      <w:r>
        <w:rPr>
          <w:rStyle w:val="FootnoteReference"/>
        </w:rPr>
        <w:footnoteReference w:id="38"/>
      </w:r>
      <w:r>
        <w:t xml:space="preserve"> </w:t>
      </w:r>
      <w:r>
        <w:t xml:space="preserve">Kathleen Clark’s account of limited-notification practice is the most direct existing statement of the bargaining mechanism.</w:t>
      </w:r>
      <w:r>
        <w:rPr>
          <w:rStyle w:val="FootnoteReference"/>
        </w:rPr>
        <w:footnoteReference w:id="39"/>
      </w:r>
      <w:r>
        <w:t xml:space="preserve"> </w:t>
      </w:r>
      <w:r>
        <w:t xml:space="preserve">Heidi Kitrosser’s analysis of information</w:t>
      </w:r>
      <w:r>
        <w:t xml:space="preserve"> </w:t>
      </w:r>
      <w:r>
        <w:t xml:space="preserve">“</w:t>
      </w:r>
      <w:r>
        <w:t xml:space="preserve">funneling</w:t>
      </w:r>
      <w:r>
        <w:t xml:space="preserve">”</w:t>
      </w:r>
      <w:r>
        <w:t xml:space="preserve"> </w:t>
      </w:r>
      <w:r>
        <w:t xml:space="preserve">(non-public disclosure to small congressional groups, marked by a</w:t>
      </w:r>
      <w:r>
        <w:t xml:space="preserve"> </w:t>
      </w:r>
      <w:r>
        <w:t xml:space="preserve">“</w:t>
      </w:r>
      <w:r>
        <w:t xml:space="preserve">near absence of public accountability</w:t>
      </w:r>
      <w:r>
        <w:t xml:space="preserve">”</w:t>
      </w:r>
      <w:r>
        <w:t xml:space="preserve">) supplies the distinction between formal and substantive accountability used here.</w:t>
      </w:r>
      <w:r>
        <w:rPr>
          <w:rStyle w:val="FootnoteReference"/>
        </w:rPr>
        <w:footnoteReference w:id="40"/>
      </w:r>
    </w:p>
    <w:p>
      <w:pPr>
        <w:pStyle w:val="BodyText"/>
      </w:pPr>
      <w:r>
        <w:t xml:space="preserve">A substantive rival holds that law, press, courts, and inspectors general can constrain national-security power even without complete transparency or prosecutions. The summaries the project holds associate this view with Goldsmith’s</w:t>
      </w:r>
      <w:r>
        <w:t xml:space="preserve"> </w:t>
      </w:r>
      <w:r>
        <w:rPr>
          <w:iCs/>
          <w:i/>
        </w:rPr>
        <w:t xml:space="preserve">Power and Constraint</w:t>
      </w:r>
      <w:r>
        <w:t xml:space="preserve">; no argument or page is attributed to the book itself.</w:t>
      </w:r>
      <w:r>
        <w:rPr>
          <w:rStyle w:val="FootnoteReference"/>
        </w:rPr>
        <w:footnoteReference w:id="41"/>
      </w:r>
      <w:r>
        <w:t xml:space="preserve"> </w:t>
      </w:r>
      <w:r>
        <w:t xml:space="preserve">Withdrawal of legal opinions, altered surveillance authority, and anti-torture legislation can count as correction on that view, and this paper cannot refute it merely by finding residual executive discretion after reform. The discriminating question is whether identified constraints alter access or conduct and endure.</w:t>
      </w:r>
    </w:p>
    <w:p>
      <w:pPr>
        <w:pStyle w:val="BodyText"/>
      </w:pPr>
      <w:r>
        <w:rPr>
          <w:bCs/>
          <w:b/>
        </w:rPr>
        <w:t xml:space="preserve">Limited-source engagement for this edition.</w:t>
      </w:r>
      <w:r>
        <w:t xml:space="preserve"> </w:t>
      </w:r>
      <w:r>
        <w:t xml:space="preserve">Six books that bear on the argument were not read in full: Goldsmith’s</w:t>
      </w:r>
      <w:r>
        <w:t xml:space="preserve"> </w:t>
      </w:r>
      <w:r>
        <w:rPr>
          <w:iCs/>
          <w:i/>
        </w:rPr>
        <w:t xml:space="preserve">Power and Constraint</w:t>
      </w:r>
      <w:r>
        <w:t xml:space="preserve">, Johnson’s</w:t>
      </w:r>
      <w:r>
        <w:t xml:space="preserve"> </w:t>
      </w:r>
      <w:r>
        <w:rPr>
          <w:iCs/>
          <w:i/>
        </w:rPr>
        <w:t xml:space="preserve">A Season of Inquiry Revisited</w:t>
      </w:r>
      <w:r>
        <w:t xml:space="preserve"> </w:t>
      </w:r>
      <w:r>
        <w:t xml:space="preserve">and</w:t>
      </w:r>
      <w:r>
        <w:t xml:space="preserve"> </w:t>
      </w:r>
      <w:r>
        <w:rPr>
          <w:iCs/>
          <w:i/>
        </w:rPr>
        <w:t xml:space="preserve">Spy Watching</w:t>
      </w:r>
      <w:r>
        <w:t xml:space="preserve">, Banks and Raven-Hansen’s</w:t>
      </w:r>
      <w:r>
        <w:t xml:space="preserve"> </w:t>
      </w:r>
      <w:r>
        <w:rPr>
          <w:iCs/>
          <w:i/>
        </w:rPr>
        <w:t xml:space="preserve">National Security Law and the Power of the Purse</w:t>
      </w:r>
      <w:r>
        <w:t xml:space="preserve">, Schwarz and Huq’s</w:t>
      </w:r>
      <w:r>
        <w:t xml:space="preserve"> </w:t>
      </w:r>
      <w:r>
        <w:rPr>
          <w:iCs/>
          <w:i/>
        </w:rPr>
        <w:t xml:space="preserve">Unchecked and Unbalanced</w:t>
      </w:r>
      <w:r>
        <w:t xml:space="preserve">, and Rudenstine’s</w:t>
      </w:r>
      <w:r>
        <w:t xml:space="preserve"> </w:t>
      </w:r>
      <w:r>
        <w:rPr>
          <w:iCs/>
          <w:i/>
        </w:rPr>
        <w:t xml:space="preserve">The Age of Deference</w:t>
      </w:r>
      <w:r>
        <w:t xml:space="preserve">. The project holds them only as summaries drawn from publisher descriptions and reviews, and for Goldsmith an Internet Archive lending-library copy protected by Adobe digital-rights management, which it could not read; no argument or page is attributed to their text.</w:t>
      </w:r>
      <w:r>
        <w:rPr>
          <w:rStyle w:val="FootnoteReference"/>
        </w:rPr>
        <w:footnoteReference w:id="42"/>
      </w:r>
      <w:r>
        <w:t xml:space="preserve"> </w:t>
      </w:r>
      <w:r>
        <w:t xml:space="preserve">Full-text engagement is deferred to a later edition.</w:t>
      </w:r>
    </w:p>
    <w:p>
      <w:pPr>
        <w:pStyle w:val="BodyText"/>
      </w:pPr>
      <w:r>
        <w:t xml:space="preserve">These literatures motivate the synthesis. Incentives and information restrictions may explain non-escalation; legal remedies may offer partial correction; bargains may establish durable institutions. Congress can obtain real gains through negotiation, threatened sanctions, appropriations, or litigation, and such gains count against any absolute incapacity claim.</w:t>
      </w:r>
      <w:r>
        <w:rPr>
          <w:rStyle w:val="FootnoteReference"/>
        </w:rPr>
        <w:footnoteReference w:id="43"/>
      </w:r>
    </w:p>
    <w:p>
      <w:r>
        <w:pict>
          <v:rect style="width:0;height:1.5pt" o:hralign="center" o:hrstd="t" o:hr="t"/>
        </w:pict>
      </w:r>
    </w:p>
    <w:bookmarkEnd w:id="44"/>
    <w:bookmarkStart w:id="60" w:name="conceptual-framework"/>
    <w:p>
      <w:pPr>
        <w:pStyle w:val="Heading2"/>
      </w:pPr>
      <w:r>
        <w:t xml:space="preserve">Conceptual Framework</w:t>
      </w:r>
    </w:p>
    <w:p>
      <w:pPr>
        <w:pStyle w:val="FirstParagraph"/>
      </w:pPr>
      <w:r>
        <w:rPr>
          <w:iCs/>
          <w:i/>
        </w:rPr>
        <w:t xml:space="preserve">Constrained negotiated oversight</w:t>
      </w:r>
      <w:r>
        <w:t xml:space="preserve"> </w:t>
      </w:r>
      <w:r>
        <w:t xml:space="preserve">is a descriptive label for a recurring configuration in which executive information control makes formal oversight powers operate through bargaining. This section supplies a vocabulary and a coding scheme, not a theory with predictions.</w:t>
      </w:r>
      <w:r>
        <w:rPr>
          <w:rStyle w:val="FootnoteReference"/>
        </w:rPr>
        <w:footnoteReference w:id="45"/>
      </w:r>
      <w:r>
        <w:t xml:space="preserve"> </w:t>
      </w:r>
      <w:r>
        <w:t xml:space="preserve">Recurrence in selected cases does not establish an invariant equilibrium or identify the causal contribution of any condition.</w:t>
      </w:r>
    </w:p>
    <w:p>
      <w:pPr>
        <w:pStyle w:val="BodyText"/>
      </w:pPr>
      <w:r>
        <w:t xml:space="preserve">Congressional</w:t>
      </w:r>
      <w:r>
        <w:t xml:space="preserve"> </w:t>
      </w:r>
      <w:r>
        <w:rPr>
          <w:iCs/>
          <w:i/>
        </w:rPr>
        <w:t xml:space="preserve">constraint</w:t>
      </w:r>
      <w:r>
        <w:t xml:space="preserve"> </w:t>
      </w:r>
      <w:r>
        <w:t xml:space="preserve">operates on four dimensions. Congress can</w:t>
      </w:r>
      <w:r>
        <w:t xml:space="preserve"> </w:t>
      </w:r>
      <w:r>
        <w:rPr>
          <w:bCs/>
          <w:b/>
        </w:rPr>
        <w:t xml:space="preserve">compel</w:t>
      </w:r>
      <w:r>
        <w:t xml:space="preserve"> </w:t>
      </w:r>
      <w:r>
        <w:t xml:space="preserve">testimony and records by subpoena, but the records sit in executive custody, so production depends on the executive’s own search and review. It is constrained in what it can</w:t>
      </w:r>
      <w:r>
        <w:t xml:space="preserve"> </w:t>
      </w:r>
      <w:r>
        <w:rPr>
          <w:bCs/>
          <w:b/>
        </w:rPr>
        <w:t xml:space="preserve">disclose</w:t>
      </w:r>
      <w:r>
        <w:t xml:space="preserve">, since the most sensitive classified material reaches only the members briefed, under restrictions on consulting staff or counsel that can make silence look like endorsement.</w:t>
      </w:r>
      <w:r>
        <w:rPr>
          <w:rStyle w:val="FootnoteReference"/>
        </w:rPr>
        <w:footnoteReference w:id="46"/>
      </w:r>
      <w:r>
        <w:t xml:space="preserve"> </w:t>
      </w:r>
      <w:r>
        <w:t xml:space="preserve">It is constrained in</w:t>
      </w:r>
      <w:r>
        <w:t xml:space="preserve"> </w:t>
      </w:r>
      <w:r>
        <w:rPr>
          <w:bCs/>
          <w:b/>
        </w:rPr>
        <w:t xml:space="preserve">enforcement</w:t>
      </w:r>
      <w:r>
        <w:t xml:space="preserve">. Criminal contempt and the false-statement and perjury statutes are ordinarily prosecuted by DOJ; the independent-counsel statute, in force from 1978 to 1992 and from 1994 to 1999, was the exception and produced the Iran-Contra pleas for withholding information from Congress. Neither House appears to have used its inherent contempt power since the 1930s. The Senate’s civil-enforcement statute excludes any subpoena to an executive officer acting in an official capacity unless the refusal rests on a personal privilege; the House has no such statute, and whether it has a cause of action is unsettled in the D.C. Circuit (Appendix C, Table C.3).</w:t>
      </w:r>
      <w:r>
        <w:rPr>
          <w:rStyle w:val="FootnoteReference"/>
        </w:rPr>
        <w:footnoteReference w:id="47"/>
      </w:r>
      <w:r>
        <w:t xml:space="preserve"> </w:t>
      </w:r>
      <w:r>
        <w:t xml:space="preserve">And it is constrained in</w:t>
      </w:r>
      <w:r>
        <w:t xml:space="preserve"> </w:t>
      </w:r>
      <w:r>
        <w:rPr>
          <w:bCs/>
          <w:b/>
        </w:rPr>
        <w:t xml:space="preserve">knowledge</w:t>
      </w:r>
      <w:r>
        <w:t xml:space="preserve">, since the executive controls classification, redaction, and release, so Congress may not know what records exist to demand.</w:t>
      </w:r>
      <w:r>
        <w:rPr>
          <w:rStyle w:val="FootnoteReference"/>
        </w:rPr>
        <w:footnoteReference w:id="48"/>
      </w:r>
      <w:r>
        <w:t xml:space="preserve"> </w:t>
      </w:r>
      <w:r>
        <w:t xml:space="preserve">Enforcement is the firmest of the four, though most routes need a chamber vote and the executive or a court.</w:t>
      </w:r>
    </w:p>
    <w:p>
      <w:pPr>
        <w:pStyle w:val="BodyText"/>
      </w:pPr>
      <w:r>
        <w:t xml:space="preserve">Our framework’s primary scope is oversight structures with four recurring scope conditions.</w:t>
      </w:r>
    </w:p>
    <w:p>
      <w:pPr>
        <w:pStyle w:val="BodyText"/>
      </w:pPr>
      <w:r>
        <w:rPr>
          <w:bCs/>
          <w:b/>
        </w:rPr>
        <w:t xml:space="preserve">Table 1.</w:t>
      </w:r>
      <w:r>
        <w:t xml:space="preserve"> </w:t>
      </w:r>
      <w:r>
        <w:rPr>
          <w:bCs/>
          <w:b/>
        </w:rPr>
        <w:t xml:space="preserve">Conditions Defining the Framework’s Primary Scope</w:t>
      </w:r>
    </w:p>
    <w:tbl>
      <w:tblPr>
        <w:tblStyle w:val="Table"/>
        <w:tblW w:type="pct" w:w="5000"/>
        <w:tblLook w:firstRow="1" w:lastRow="0" w:firstColumn="0" w:lastColumn="0" w:noHBand="0" w:noVBand="0" w:val="0020"/>
        <w:jc w:val="start"/>
        <w:tblLayout w:type="autofit"/>
      </w:tblPr>
      <w:tblGrid>
        <w:gridCol w:w="3960"/>
        <w:gridCol w:w="3960"/>
      </w:tblGrid>
      <w:tr>
        <w:trPr>
          <w:tblHeader w:val="true"/>
          <w:cantSplit/>
        </w:trPr>
        <w:tc>
          <w:tcPr>
            <w:tcW w:type="pct" w:w="2500"/>
          </w:tcPr>
          <w:p>
            <w:pPr>
              <w:keepNext/>
              <w:pStyle w:val="Compact"/>
              <w:jc w:val="left"/>
            </w:pPr>
            <w:r>
              <w:rPr>
                <w:b/>
                <w:sz w:val="20"/>
              </w:rPr>
              <w:t xml:space="preserve">Scope condition</w:t>
            </w:r>
          </w:p>
        </w:tc>
        <w:tc>
          <w:tcPr>
            <w:tcW w:type="pct" w:w="2500"/>
          </w:tcPr>
          <w:p>
            <w:pPr>
              <w:keepNext/>
              <w:pStyle w:val="Compact"/>
              <w:jc w:val="left"/>
            </w:pPr>
            <w:r>
              <w:rPr>
                <w:b/>
                <w:sz w:val="20"/>
              </w:rPr>
              <w:t xml:space="preserve">Why it defines our framework’s primary scope</w:t>
            </w:r>
          </w:p>
        </w:tc>
      </w:tr>
      <w:tr>
        <w:trPr>
          <w:cantSplit/>
        </w:trPr>
        <w:tc>
          <w:tcPr>
            <w:tcW w:type="pct" w:w="2500"/>
          </w:tcPr>
          <w:p>
            <w:pPr>
              <w:keepNext/>
              <w:pStyle w:val="Compact"/>
              <w:jc w:val="left"/>
            </w:pPr>
            <w:r>
              <w:rPr>
                <w:sz w:val="20"/>
              </w:rPr>
              <w:t xml:space="preserve">Scope #1: Executive control over operational architecture</w:t>
            </w:r>
            <w:r>
              <w:rPr>
                <w:sz w:val="20"/>
              </w:rPr>
              <w:t xml:space="preserve"> </w:t>
            </w:r>
            <w:r>
              <w:rPr>
                <w:bCs/>
                <w:b/>
                <w:sz w:val="20"/>
              </w:rPr>
              <w:t xml:space="preserve">[defining]</w:t>
            </w:r>
          </w:p>
        </w:tc>
        <w:tc>
          <w:tcPr>
            <w:tcW w:type="pct" w:w="2500"/>
          </w:tcPr>
          <w:p>
            <w:pPr>
              <w:keepNext/>
              <w:pStyle w:val="Compact"/>
              <w:jc w:val="left"/>
            </w:pPr>
            <w:r>
              <w:rPr>
                <w:sz w:val="20"/>
              </w:rPr>
              <w:t xml:space="preserve">The executive controls the records, systems, and procedures through which oversight must operate.</w:t>
            </w:r>
          </w:p>
        </w:tc>
      </w:tr>
      <w:tr>
        <w:trPr>
          <w:cantSplit/>
        </w:trPr>
        <w:tc>
          <w:tcPr>
            <w:tcW w:type="pct" w:w="2500"/>
          </w:tcPr>
          <w:p>
            <w:pPr>
              <w:keepNext/>
              <w:pStyle w:val="Compact"/>
              <w:jc w:val="left"/>
            </w:pPr>
            <w:r>
              <w:rPr>
                <w:sz w:val="20"/>
              </w:rPr>
              <w:t xml:space="preserve">Scope #2: High operational secrecy or technical complexity</w:t>
            </w:r>
          </w:p>
        </w:tc>
        <w:tc>
          <w:tcPr>
            <w:tcW w:type="pct" w:w="2500"/>
          </w:tcPr>
          <w:p>
            <w:pPr>
              <w:keepNext/>
              <w:pStyle w:val="Compact"/>
              <w:jc w:val="left"/>
            </w:pPr>
            <w:r>
              <w:rPr>
                <w:sz w:val="20"/>
              </w:rPr>
              <w:t xml:space="preserve">The underlying activity is difficult for Congress or the public to observe directly.</w:t>
            </w:r>
          </w:p>
        </w:tc>
      </w:tr>
      <w:tr>
        <w:trPr>
          <w:cantSplit/>
        </w:trPr>
        <w:tc>
          <w:tcPr>
            <w:tcW w:type="pct" w:w="2500"/>
          </w:tcPr>
          <w:p>
            <w:pPr>
              <w:keepNext/>
              <w:pStyle w:val="Compact"/>
              <w:jc w:val="left"/>
            </w:pPr>
            <w:r>
              <w:rPr>
                <w:sz w:val="20"/>
              </w:rPr>
              <w:t xml:space="preserve">Scope #3: Legally delegated rather than self-enforcing congressional authority</w:t>
            </w:r>
          </w:p>
        </w:tc>
        <w:tc>
          <w:tcPr>
            <w:tcW w:type="pct" w:w="2500"/>
          </w:tcPr>
          <w:p>
            <w:pPr>
              <w:keepNext/>
              <w:pStyle w:val="Compact"/>
              <w:jc w:val="left"/>
            </w:pPr>
            <w:r>
              <w:rPr>
                <w:sz w:val="20"/>
              </w:rPr>
              <w:t xml:space="preserve">Congress’s oversight power depends on rules and reporting obligations rather than direct structural control.</w:t>
            </w:r>
          </w:p>
        </w:tc>
      </w:tr>
      <w:tr>
        <w:trPr>
          <w:cantSplit/>
        </w:trPr>
        <w:tc>
          <w:tcPr>
            <w:tcW w:type="pct" w:w="2500"/>
          </w:tcPr>
          <w:p>
            <w:pPr>
              <w:pStyle w:val="Compact"/>
              <w:jc w:val="left"/>
            </w:pPr>
            <w:r>
              <w:rPr>
                <w:sz w:val="20"/>
              </w:rPr>
              <w:t xml:space="preserve">Scope #4: Structurally constrained access to independent domain-specific expertise</w:t>
            </w:r>
          </w:p>
        </w:tc>
        <w:tc>
          <w:tcPr>
            <w:tcW w:type="pct" w:w="2500"/>
          </w:tcPr>
          <w:p>
            <w:pPr>
              <w:pStyle w:val="Compact"/>
              <w:jc w:val="left"/>
            </w:pPr>
            <w:r>
              <w:rPr>
                <w:sz w:val="20"/>
              </w:rPr>
              <w:t xml:space="preserve">Congress cannot freely draw on the staff, counsel, or outside expertise needed to evaluate the domain independently.</w:t>
            </w:r>
          </w:p>
        </w:tc>
      </w:tr>
    </w:tbl>
    <w:p>
      <w:pPr>
        <w:pStyle w:val="BodyText"/>
      </w:pPr>
      <w:r>
        <w:t xml:space="preserve">Scope #1 bounds the cases; restricted access within Congress (Scope #4 and the disclosure constraint) separates constrained from ordinary accommodation. Whether Scope #1, or the preferences of congressional majorities, is the nearer constraint in a given episode is an empirical question that the coding records separately.</w:t>
      </w:r>
    </w:p>
    <w:p>
      <w:pPr>
        <w:pStyle w:val="BodyText"/>
      </w:pPr>
      <w:r>
        <w:t xml:space="preserve">Scope is assigned from conditions preceding the disputed oversight outcome: custody of records, secrecy rules, governing access law, and the available expertise. A case stays in scope if Congress or a court subsequently breaks executive control; successful enforcement must not be excluded by redefining the outcome as absence of Scope #1. Table 2 records the initial conditions (✓ present, ◑ partly relaxed, ✗ materially relaxed).</w:t>
      </w:r>
      <w:r>
        <w:rPr>
          <w:rStyle w:val="FootnoteReference"/>
        </w:rPr>
        <w:footnoteReference w:id="49"/>
      </w:r>
    </w:p>
    <w:p>
      <w:pPr>
        <w:pStyle w:val="BodyText"/>
      </w:pPr>
      <w:r>
        <w:rPr>
          <w:bCs/>
          <w:b/>
        </w:rPr>
        <w:t xml:space="preserve">Table 2. Scope Conditions Across the Cases</w:t>
      </w:r>
    </w:p>
    <w:tbl>
      <w:tblPr>
        <w:tblStyle w:val="Table"/>
        <w:tblW w:type="pct" w:w="5000"/>
        <w:tblLook w:firstRow="1" w:lastRow="0" w:firstColumn="0" w:lastColumn="0" w:noHBand="0" w:noVBand="0" w:val="0020"/>
        <w:jc w:val="start"/>
        <w:tblLayout w:type="autofit"/>
      </w:tblPr>
      <w:tblGrid>
        <w:gridCol w:w="819"/>
        <w:gridCol w:w="1365"/>
        <w:gridCol w:w="1365"/>
        <w:gridCol w:w="1365"/>
        <w:gridCol w:w="1365"/>
        <w:gridCol w:w="819"/>
        <w:gridCol w:w="819"/>
      </w:tblGrid>
      <w:tr>
        <w:trPr>
          <w:tblHeader w:val="true"/>
          <w:cantSplit/>
        </w:trPr>
        <w:tc>
          <w:tcPr>
            <w:tcW w:type="pct" w:w="517"/>
          </w:tcPr>
          <w:p>
            <w:pPr>
              <w:pStyle w:val="Compact"/>
              <w:jc w:val="left"/>
            </w:pPr>
            <w:r>
              <w:rPr>
                <w:b/>
                <w:sz w:val="20"/>
              </w:rPr>
              <w:t xml:space="preserve">Case</w:t>
            </w:r>
          </w:p>
        </w:tc>
        <w:tc>
          <w:tcPr>
            <w:tcW w:type="pct" w:w="862"/>
          </w:tcPr>
          <w:p>
            <w:pPr>
              <w:pStyle w:val="Compact"/>
              <w:jc w:val="center"/>
            </w:pPr>
            <w:r>
              <w:rPr>
                <w:b/>
                <w:sz w:val="20"/>
              </w:rPr>
              <w:t xml:space="preserve">Scope #1</w:t>
            </w:r>
            <w:r>
              <w:rPr>
                <w:b/>
                <w:sz w:val="20"/>
              </w:rPr>
              <w:t xml:space="preserve"> </w:t>
            </w:r>
            <w:r>
              <w:rPr>
                <w:bCs/>
                <w:b/>
                <w:sz w:val="20"/>
              </w:rPr>
              <w:t xml:space="preserve">[defining]</w:t>
            </w:r>
          </w:p>
        </w:tc>
        <w:tc>
          <w:tcPr>
            <w:tcW w:type="pct" w:w="862"/>
          </w:tcPr>
          <w:p>
            <w:pPr>
              <w:pStyle w:val="Compact"/>
              <w:jc w:val="center"/>
            </w:pPr>
            <w:r>
              <w:rPr>
                <w:b/>
                <w:sz w:val="20"/>
              </w:rPr>
              <w:t xml:space="preserve">Scope #2</w:t>
            </w:r>
          </w:p>
        </w:tc>
        <w:tc>
          <w:tcPr>
            <w:tcW w:type="pct" w:w="862"/>
          </w:tcPr>
          <w:p>
            <w:pPr>
              <w:pStyle w:val="Compact"/>
              <w:jc w:val="center"/>
            </w:pPr>
            <w:r>
              <w:rPr>
                <w:b/>
                <w:sz w:val="20"/>
              </w:rPr>
              <w:t xml:space="preserve">Scope #3</w:t>
            </w:r>
          </w:p>
        </w:tc>
        <w:tc>
          <w:tcPr>
            <w:tcW w:type="pct" w:w="862"/>
          </w:tcPr>
          <w:p>
            <w:pPr>
              <w:pStyle w:val="Compact"/>
              <w:jc w:val="center"/>
            </w:pPr>
            <w:r>
              <w:rPr>
                <w:b/>
                <w:sz w:val="20"/>
              </w:rPr>
              <w:t xml:space="preserve">Scope #4</w:t>
            </w:r>
          </w:p>
        </w:tc>
        <w:tc>
          <w:tcPr>
            <w:tcW w:type="pct" w:w="517"/>
          </w:tcPr>
          <w:p>
            <w:pPr>
              <w:pStyle w:val="Compact"/>
              <w:jc w:val="left"/>
            </w:pPr>
            <w:r>
              <w:rPr>
                <w:b/>
                <w:sz w:val="20"/>
              </w:rPr>
              <w:t xml:space="preserve">Partisan*</w:t>
            </w:r>
          </w:p>
        </w:tc>
        <w:tc>
          <w:tcPr>
            <w:tcW w:type="pct" w:w="518"/>
          </w:tcPr>
          <w:p>
            <w:pPr>
              <w:pStyle w:val="Compact"/>
              <w:jc w:val="left"/>
            </w:pPr>
            <w:r>
              <w:rPr>
                <w:b/>
                <w:sz w:val="20"/>
              </w:rPr>
              <w:t xml:space="preserve">Investigating chamber’s majority relative to the President</w:t>
            </w:r>
          </w:p>
        </w:tc>
      </w:tr>
      <w:tr>
        <w:trPr>
          <w:cantSplit/>
        </w:trPr>
        <w:tc>
          <w:tcPr>
            <w:tcW w:type="pct" w:w="517"/>
          </w:tcPr>
          <w:p>
            <w:pPr>
              <w:pStyle w:val="Compact"/>
              <w:jc w:val="left"/>
            </w:pPr>
            <w:r>
              <w:rPr>
                <w:sz w:val="20"/>
              </w:rPr>
              <w:t xml:space="preserve">Pike and Church (1975–76)</w:t>
            </w:r>
          </w:p>
        </w:tc>
        <w:tc>
          <w:tcPr>
            <w:tcW w:type="pct" w:w="862"/>
          </w:tcPr>
          <w:p>
            <w:pPr>
              <w:pStyle w:val="Compact"/>
              <w:jc w:val="center"/>
            </w:pPr>
            <w:r>
              <w:rPr>
                <w:sz w:val="20"/>
              </w:rPr>
              <w:t xml:space="preserve">✓</w:t>
            </w:r>
          </w:p>
        </w:tc>
        <w:tc>
          <w:tcPr>
            <w:tcW w:type="pct" w:w="862"/>
          </w:tcPr>
          <w:p>
            <w:pPr>
              <w:pStyle w:val="Compact"/>
              <w:jc w:val="center"/>
            </w:pPr>
            <w:r>
              <w:rPr>
                <w:sz w:val="20"/>
              </w:rPr>
              <w:t xml:space="preserve">✓</w:t>
            </w:r>
          </w:p>
        </w:tc>
        <w:tc>
          <w:tcPr>
            <w:tcW w:type="pct" w:w="862"/>
          </w:tcPr>
          <w:p>
            <w:pPr>
              <w:pStyle w:val="Compact"/>
              <w:jc w:val="center"/>
            </w:pPr>
            <w:r>
              <w:rPr>
                <w:sz w:val="20"/>
              </w:rPr>
              <w:t xml:space="preserve">✓</w:t>
            </w:r>
          </w:p>
        </w:tc>
        <w:tc>
          <w:tcPr>
            <w:tcW w:type="pct" w:w="862"/>
          </w:tcPr>
          <w:p>
            <w:pPr>
              <w:pStyle w:val="Compact"/>
              <w:jc w:val="center"/>
            </w:pPr>
            <w:r>
              <w:rPr>
                <w:sz w:val="20"/>
              </w:rPr>
              <w:t xml:space="preserve">✓</w:t>
            </w:r>
          </w:p>
        </w:tc>
        <w:tc>
          <w:tcPr>
            <w:tcW w:type="pct" w:w="517"/>
          </w:tcPr>
          <w:p>
            <w:pPr>
              <w:pStyle w:val="Compact"/>
              <w:jc w:val="left"/>
            </w:pPr>
            <w:r>
              <w:rPr>
                <w:sz w:val="20"/>
              </w:rPr>
              <w:t xml:space="preserve">Divided</w:t>
            </w:r>
          </w:p>
        </w:tc>
        <w:tc>
          <w:tcPr>
            <w:tcW w:type="pct" w:w="518"/>
          </w:tcPr>
          <w:p>
            <w:pPr>
              <w:pStyle w:val="Compact"/>
              <w:jc w:val="left"/>
            </w:pPr>
            <w:r>
              <w:rPr>
                <w:sz w:val="20"/>
              </w:rPr>
              <w:t xml:space="preserve">Opposition (both chambers)</w:t>
            </w:r>
          </w:p>
        </w:tc>
      </w:tr>
      <w:tr>
        <w:trPr>
          <w:cantSplit/>
        </w:trPr>
        <w:tc>
          <w:tcPr>
            <w:tcW w:type="pct" w:w="517"/>
          </w:tcPr>
          <w:p>
            <w:pPr>
              <w:pStyle w:val="Compact"/>
              <w:jc w:val="left"/>
            </w:pPr>
            <w:r>
              <w:rPr>
                <w:sz w:val="20"/>
              </w:rPr>
              <w:t xml:space="preserve">Iran-Contra (1986–91)</w:t>
            </w:r>
          </w:p>
        </w:tc>
        <w:tc>
          <w:tcPr>
            <w:tcW w:type="pct" w:w="862"/>
          </w:tcPr>
          <w:p>
            <w:pPr>
              <w:pStyle w:val="Compact"/>
              <w:jc w:val="center"/>
            </w:pPr>
            <w:r>
              <w:rPr>
                <w:sz w:val="20"/>
              </w:rPr>
              <w:t xml:space="preserve">✓</w:t>
            </w:r>
          </w:p>
        </w:tc>
        <w:tc>
          <w:tcPr>
            <w:tcW w:type="pct" w:w="862"/>
          </w:tcPr>
          <w:p>
            <w:pPr>
              <w:pStyle w:val="Compact"/>
              <w:jc w:val="center"/>
            </w:pPr>
            <w:r>
              <w:rPr>
                <w:sz w:val="20"/>
              </w:rPr>
              <w:t xml:space="preserve">✓</w:t>
            </w:r>
          </w:p>
        </w:tc>
        <w:tc>
          <w:tcPr>
            <w:tcW w:type="pct" w:w="862"/>
          </w:tcPr>
          <w:p>
            <w:pPr>
              <w:pStyle w:val="Compact"/>
              <w:jc w:val="center"/>
            </w:pPr>
            <w:r>
              <w:rPr>
                <w:sz w:val="20"/>
              </w:rPr>
              <w:t xml:space="preserve">✓</w:t>
            </w:r>
          </w:p>
        </w:tc>
        <w:tc>
          <w:tcPr>
            <w:tcW w:type="pct" w:w="862"/>
          </w:tcPr>
          <w:p>
            <w:pPr>
              <w:pStyle w:val="Compact"/>
              <w:jc w:val="center"/>
            </w:pPr>
            <w:r>
              <w:rPr>
                <w:sz w:val="20"/>
              </w:rPr>
              <w:t xml:space="preserve">✓</w:t>
            </w:r>
          </w:p>
        </w:tc>
        <w:tc>
          <w:tcPr>
            <w:tcW w:type="pct" w:w="517"/>
          </w:tcPr>
          <w:p>
            <w:pPr>
              <w:pStyle w:val="Compact"/>
              <w:jc w:val="left"/>
            </w:pPr>
            <w:r>
              <w:rPr>
                <w:sz w:val="20"/>
              </w:rPr>
              <w:t xml:space="preserve">Divided</w:t>
            </w:r>
          </w:p>
        </w:tc>
        <w:tc>
          <w:tcPr>
            <w:tcW w:type="pct" w:w="518"/>
          </w:tcPr>
          <w:p>
            <w:pPr>
              <w:pStyle w:val="Compact"/>
              <w:jc w:val="left"/>
            </w:pPr>
            <w:r>
              <w:rPr>
                <w:sz w:val="20"/>
              </w:rPr>
              <w:t xml:space="preserve">Opposition (House throughout; Senate from January 1987)</w:t>
            </w:r>
          </w:p>
        </w:tc>
      </w:tr>
      <w:tr>
        <w:trPr>
          <w:cantSplit/>
        </w:trPr>
        <w:tc>
          <w:tcPr>
            <w:tcW w:type="pct" w:w="517"/>
          </w:tcPr>
          <w:p>
            <w:pPr>
              <w:pStyle w:val="Compact"/>
              <w:jc w:val="left"/>
            </w:pPr>
            <w:r>
              <w:rPr>
                <w:sz w:val="20"/>
              </w:rPr>
              <w:t xml:space="preserve">NSA bulk collection (2001–15)</w:t>
            </w:r>
          </w:p>
        </w:tc>
        <w:tc>
          <w:tcPr>
            <w:tcW w:type="pct" w:w="862"/>
          </w:tcPr>
          <w:p>
            <w:pPr>
              <w:pStyle w:val="Compact"/>
              <w:jc w:val="center"/>
            </w:pPr>
            <w:r>
              <w:rPr>
                <w:sz w:val="20"/>
              </w:rPr>
              <w:t xml:space="preserve">✓</w:t>
            </w:r>
          </w:p>
        </w:tc>
        <w:tc>
          <w:tcPr>
            <w:tcW w:type="pct" w:w="862"/>
          </w:tcPr>
          <w:p>
            <w:pPr>
              <w:pStyle w:val="Compact"/>
              <w:jc w:val="center"/>
            </w:pPr>
            <w:r>
              <w:rPr>
                <w:sz w:val="20"/>
              </w:rPr>
              <w:t xml:space="preserve">✓</w:t>
            </w:r>
          </w:p>
        </w:tc>
        <w:tc>
          <w:tcPr>
            <w:tcW w:type="pct" w:w="862"/>
          </w:tcPr>
          <w:p>
            <w:pPr>
              <w:pStyle w:val="Compact"/>
              <w:jc w:val="center"/>
            </w:pPr>
            <w:r>
              <w:rPr>
                <w:sz w:val="20"/>
              </w:rPr>
              <w:t xml:space="preserve">✓</w:t>
            </w:r>
          </w:p>
        </w:tc>
        <w:tc>
          <w:tcPr>
            <w:tcW w:type="pct" w:w="862"/>
          </w:tcPr>
          <w:p>
            <w:pPr>
              <w:pStyle w:val="Compact"/>
              <w:jc w:val="center"/>
            </w:pPr>
            <w:r>
              <w:rPr>
                <w:sz w:val="20"/>
              </w:rPr>
              <w:t xml:space="preserve">✓ (2001–07: briefings by White House approval, beginning with the intelligence committees’ chairs and ranking members; by 2009–11: four committees held the court orders, other members were limited to a classified summary, and most had no cleared staff)</w:t>
            </w:r>
          </w:p>
        </w:tc>
        <w:tc>
          <w:tcPr>
            <w:tcW w:type="pct" w:w="517"/>
          </w:tcPr>
          <w:p>
            <w:pPr>
              <w:pStyle w:val="Compact"/>
              <w:jc w:val="left"/>
            </w:pPr>
            <w:r>
              <w:rPr>
                <w:sz w:val="20"/>
              </w:rPr>
              <w:t xml:space="preserve">Varied</w:t>
            </w:r>
          </w:p>
        </w:tc>
        <w:tc>
          <w:tcPr>
            <w:tcW w:type="pct" w:w="518"/>
          </w:tcPr>
          <w:p>
            <w:pPr>
              <w:pStyle w:val="Compact"/>
              <w:jc w:val="left"/>
            </w:pPr>
            <w:r>
              <w:rPr>
                <w:sz w:val="20"/>
              </w:rPr>
              <w:t xml:space="preserve">By sub-period: opposition in the Senate committee in 2001–02 and 2007–08, same party in 2003–06 and 2009–14; the 2008 provider immunity passed an opposition Congress and the 2015 statute an opposition Congress</w:t>
            </w:r>
          </w:p>
        </w:tc>
      </w:tr>
      <w:tr>
        <w:trPr>
          <w:cantSplit/>
        </w:trPr>
        <w:tc>
          <w:tcPr>
            <w:tcW w:type="pct" w:w="517"/>
          </w:tcPr>
          <w:p>
            <w:pPr>
              <w:pStyle w:val="Compact"/>
              <w:jc w:val="left"/>
            </w:pPr>
            <w:r>
              <w:rPr>
                <w:sz w:val="20"/>
              </w:rPr>
              <w:t xml:space="preserve">CIA Interrogation Program (2002–14)</w:t>
            </w:r>
          </w:p>
        </w:tc>
        <w:tc>
          <w:tcPr>
            <w:tcW w:type="pct" w:w="862"/>
          </w:tcPr>
          <w:p>
            <w:pPr>
              <w:pStyle w:val="Compact"/>
              <w:jc w:val="center"/>
            </w:pPr>
            <w:r>
              <w:rPr>
                <w:sz w:val="20"/>
              </w:rPr>
              <w:t xml:space="preserve">✓</w:t>
            </w:r>
          </w:p>
        </w:tc>
        <w:tc>
          <w:tcPr>
            <w:tcW w:type="pct" w:w="862"/>
          </w:tcPr>
          <w:p>
            <w:pPr>
              <w:pStyle w:val="Compact"/>
              <w:jc w:val="center"/>
            </w:pPr>
            <w:r>
              <w:rPr>
                <w:sz w:val="20"/>
              </w:rPr>
              <w:t xml:space="preserve">✓</w:t>
            </w:r>
          </w:p>
        </w:tc>
        <w:tc>
          <w:tcPr>
            <w:tcW w:type="pct" w:w="862"/>
          </w:tcPr>
          <w:p>
            <w:pPr>
              <w:pStyle w:val="Compact"/>
              <w:jc w:val="center"/>
            </w:pPr>
            <w:r>
              <w:rPr>
                <w:sz w:val="20"/>
              </w:rPr>
              <w:t xml:space="preserve">✓</w:t>
            </w:r>
          </w:p>
        </w:tc>
        <w:tc>
          <w:tcPr>
            <w:tcW w:type="pct" w:w="862"/>
          </w:tcPr>
          <w:p>
            <w:pPr>
              <w:pStyle w:val="Compact"/>
              <w:jc w:val="center"/>
            </w:pPr>
            <w:r>
              <w:rPr>
                <w:sz w:val="20"/>
              </w:rPr>
              <w:t xml:space="preserve">◑ (to September 6, 2006: information restricted to the committee’s chairman and vice chairman; afterward: full-committee access and staff review of more than six million pages)</w:t>
            </w:r>
          </w:p>
        </w:tc>
        <w:tc>
          <w:tcPr>
            <w:tcW w:type="pct" w:w="517"/>
          </w:tcPr>
          <w:p>
            <w:pPr>
              <w:pStyle w:val="Compact"/>
              <w:jc w:val="left"/>
            </w:pPr>
            <w:r>
              <w:rPr>
                <w:sz w:val="20"/>
              </w:rPr>
              <w:t xml:space="preserve">Varied</w:t>
            </w:r>
          </w:p>
        </w:tc>
        <w:tc>
          <w:tcPr>
            <w:tcW w:type="pct" w:w="518"/>
          </w:tcPr>
          <w:p>
            <w:pPr>
              <w:pStyle w:val="Compact"/>
              <w:jc w:val="left"/>
            </w:pPr>
            <w:r>
              <w:rPr>
                <w:sz w:val="20"/>
              </w:rPr>
              <w:t xml:space="preserve">By sub-period: opposition in the Senate committee in 2002 and 2007–08 (the review began in December 2007), same party in 2003–06 (access limited to the chairman and vice chairman) and 2009–14 (the study of a program begun under the other party)</w:t>
            </w:r>
          </w:p>
        </w:tc>
      </w:tr>
      <w:tr>
        <w:trPr>
          <w:cantSplit/>
        </w:trPr>
        <w:tc>
          <w:tcPr>
            <w:tcW w:type="pct" w:w="517"/>
          </w:tcPr>
          <w:p>
            <w:pPr>
              <w:pStyle w:val="Compact"/>
              <w:jc w:val="left"/>
            </w:pPr>
            <w:r>
              <w:rPr>
                <w:sz w:val="20"/>
              </w:rPr>
              <w:t xml:space="preserve">EFTA (2025–)</w:t>
            </w:r>
          </w:p>
        </w:tc>
        <w:tc>
          <w:tcPr>
            <w:tcW w:type="pct" w:w="862"/>
          </w:tcPr>
          <w:p>
            <w:pPr>
              <w:pStyle w:val="Compact"/>
              <w:jc w:val="center"/>
            </w:pPr>
            <w:r>
              <w:rPr>
                <w:sz w:val="20"/>
              </w:rPr>
              <w:t xml:space="preserve">✓</w:t>
            </w:r>
          </w:p>
        </w:tc>
        <w:tc>
          <w:tcPr>
            <w:tcW w:type="pct" w:w="862"/>
          </w:tcPr>
          <w:p>
            <w:pPr>
              <w:pStyle w:val="Compact"/>
              <w:jc w:val="center"/>
            </w:pPr>
            <w:r>
              <w:rPr>
                <w:sz w:val="20"/>
              </w:rPr>
              <w:t xml:space="preserve">◑ (most production unclassified)</w:t>
            </w:r>
          </w:p>
        </w:tc>
        <w:tc>
          <w:tcPr>
            <w:tcW w:type="pct" w:w="862"/>
          </w:tcPr>
          <w:p>
            <w:pPr>
              <w:pStyle w:val="Compact"/>
              <w:jc w:val="center"/>
            </w:pPr>
            <w:r>
              <w:rPr>
                <w:sz w:val="20"/>
              </w:rPr>
              <w:t xml:space="preserve">◑ (Section 2(a) mandates publication and Section 2(c)(2) requires justifications to be submitted to Congress)</w:t>
            </w:r>
          </w:p>
        </w:tc>
        <w:tc>
          <w:tcPr>
            <w:tcW w:type="pct" w:w="862"/>
          </w:tcPr>
          <w:p>
            <w:pPr>
              <w:pStyle w:val="Compact"/>
              <w:jc w:val="center"/>
            </w:pPr>
            <w:r>
              <w:rPr>
                <w:sz w:val="20"/>
              </w:rPr>
              <w:t xml:space="preserve">◑ (committees have substantive prior knowledge; Members may view the unredacted material only personally, by arrangement through Judiciary Committee leadership, under confidentiality undertakings)</w:t>
            </w:r>
          </w:p>
        </w:tc>
        <w:tc>
          <w:tcPr>
            <w:tcW w:type="pct" w:w="517"/>
          </w:tcPr>
          <w:p>
            <w:pPr>
              <w:pStyle w:val="Compact"/>
              <w:jc w:val="left"/>
            </w:pPr>
            <w:r>
              <w:rPr>
                <w:sz w:val="20"/>
              </w:rPr>
              <w:t xml:space="preserve">Unified</w:t>
            </w:r>
          </w:p>
        </w:tc>
        <w:tc>
          <w:tcPr>
            <w:tcW w:type="pct" w:w="518"/>
          </w:tcPr>
          <w:p>
            <w:pPr>
              <w:pStyle w:val="Compact"/>
              <w:jc w:val="left"/>
            </w:pPr>
            <w:r>
              <w:rPr>
                <w:sz w:val="20"/>
              </w:rPr>
              <w:t xml:space="preserve">Same party</w:t>
            </w:r>
          </w:p>
        </w:tc>
      </w:tr>
      <w:tr>
        <w:trPr>
          <w:cantSplit/>
        </w:trPr>
        <w:tc>
          <w:tcPr>
            <w:tcW w:type="pct" w:w="517"/>
          </w:tcPr>
          <w:p>
            <w:pPr>
              <w:pStyle w:val="Compact"/>
              <w:jc w:val="left"/>
            </w:pPr>
            <w:r>
              <w:rPr>
                <w:sz w:val="20"/>
              </w:rPr>
              <w:t xml:space="preserve">Watergate tapes (1973–74), contrast</w:t>
            </w:r>
          </w:p>
        </w:tc>
        <w:tc>
          <w:tcPr>
            <w:tcW w:type="pct" w:w="862"/>
          </w:tcPr>
          <w:p>
            <w:pPr>
              <w:pStyle w:val="Compact"/>
              <w:jc w:val="center"/>
            </w:pPr>
            <w:r>
              <w:rPr>
                <w:sz w:val="20"/>
              </w:rPr>
              <w:t xml:space="preserve">✓ (tapes in presidential custody)</w:t>
            </w:r>
          </w:p>
        </w:tc>
        <w:tc>
          <w:tcPr>
            <w:tcW w:type="pct" w:w="862"/>
          </w:tcPr>
          <w:p>
            <w:pPr>
              <w:pStyle w:val="Compact"/>
              <w:jc w:val="center"/>
            </w:pPr>
            <w:r>
              <w:rPr>
                <w:sz w:val="20"/>
              </w:rPr>
              <w:t xml:space="preserve">◑ (confidential, not classified)</w:t>
            </w:r>
          </w:p>
        </w:tc>
        <w:tc>
          <w:tcPr>
            <w:tcW w:type="pct" w:w="862"/>
          </w:tcPr>
          <w:p>
            <w:pPr>
              <w:pStyle w:val="Compact"/>
              <w:jc w:val="center"/>
            </w:pPr>
            <w:r>
              <w:rPr>
                <w:sz w:val="20"/>
              </w:rPr>
              <w:t xml:space="preserve">◑ (committee subpoenas, plus grand-jury and trial subpoenas under ordinary criminal process)</w:t>
            </w:r>
          </w:p>
        </w:tc>
        <w:tc>
          <w:tcPr>
            <w:tcW w:type="pct" w:w="862"/>
          </w:tcPr>
          <w:p>
            <w:pPr>
              <w:pStyle w:val="Compact"/>
              <w:jc w:val="center"/>
            </w:pPr>
            <w:r>
              <w:rPr>
                <w:sz w:val="20"/>
              </w:rPr>
              <w:t xml:space="preserve">✗ (no classification barrier to staff or counsel)</w:t>
            </w:r>
          </w:p>
        </w:tc>
        <w:tc>
          <w:tcPr>
            <w:tcW w:type="pct" w:w="517"/>
          </w:tcPr>
          <w:p>
            <w:pPr>
              <w:pStyle w:val="Compact"/>
              <w:jc w:val="left"/>
            </w:pPr>
            <w:r>
              <w:rPr>
                <w:sz w:val="20"/>
              </w:rPr>
              <w:t xml:space="preserve">Divided</w:t>
            </w:r>
          </w:p>
        </w:tc>
        <w:tc>
          <w:tcPr>
            <w:tcW w:type="pct" w:w="518"/>
          </w:tcPr>
          <w:p>
            <w:pPr>
              <w:pStyle w:val="Compact"/>
              <w:jc w:val="left"/>
            </w:pPr>
            <w:r>
              <w:rPr>
                <w:sz w:val="20"/>
              </w:rPr>
              <w:t xml:space="preserve">Opposition</w:t>
            </w:r>
          </w:p>
        </w:tc>
      </w:tr>
    </w:tbl>
    <w:p>
      <w:pPr>
        <w:pStyle w:val="BodyText"/>
      </w:pPr>
      <w:r>
        <w:t xml:space="preserve">*</w:t>
      </w:r>
      <w:r>
        <w:t xml:space="preserve"> </w:t>
      </w:r>
      <w:r>
        <w:rPr>
          <w:bCs/>
          <w:b/>
        </w:rPr>
        <w:t xml:space="preserve">Partisan configuration:</w:t>
      </w:r>
      <w:r>
        <w:t xml:space="preserve"> </w:t>
      </w:r>
      <w:r>
        <w:t xml:space="preserve">Divided = the opposition party controls at least one chamber of Congress; Unified = the president’s party controls Congress; Varied = both occurred within the period. By case: Pike and Church (Democratic Congress, Ford); Iran-Contra (Democratic House and Republican Senate in 1986, Democratic Congress from January 1987, Reagan); NSA bulk collection and the CIA Interrogation Program (unified in 2003–06 and 2009–10, divided in 2001–02, 2007–08 and from January 2011); Watergate tapes (Democratic Congress, Nixon); EFTA (Republican House and Senate, Trump). The last column codes the chamber that did the investigating, the level at which the literature on divided government and investigations finds its effect.</w:t>
      </w:r>
    </w:p>
    <w:p>
      <w:pPr>
        <w:pStyle w:val="BodyText"/>
      </w:pPr>
      <w:r>
        <w:t xml:space="preserve">EFTA partly relaxes Scope #2–#4 while preserving initial executive custody, so it is informative about transport beyond classified programs but is not a controlled comparison.</w:t>
      </w:r>
    </w:p>
    <w:bookmarkStart w:id="59" w:name="hypothesised-preconditions"/>
    <w:p>
      <w:pPr>
        <w:pStyle w:val="Heading3"/>
      </w:pPr>
      <w:r>
        <w:t xml:space="preserve">Hypothesised Preconditions</w:t>
      </w:r>
    </w:p>
    <w:p>
      <w:pPr>
        <w:pStyle w:val="FirstParagraph"/>
      </w:pPr>
      <w:r>
        <w:t xml:space="preserve">Table 1 defines scope; Table 3 lists conditions hypothesised to sustain bargaining within it. Information asymmetry tracks Scope #1 and #2, weak enforcement Scope #3, and limited expertise Scope #4; incentive misalignment has no scope counterpart. The four historical cases show all four; EFTA relaxes three (Table 2).</w:t>
      </w:r>
    </w:p>
    <w:p>
      <w:pPr>
        <w:pStyle w:val="BodyText"/>
      </w:pPr>
      <w:r>
        <w:rPr>
          <w:bCs/>
          <w:b/>
        </w:rPr>
        <w:t xml:space="preserve">Table 3. Hypothesised Structural Preconditions</w:t>
      </w:r>
    </w:p>
    <w:tbl>
      <w:tblPr>
        <w:tblStyle w:val="Table"/>
        <w:tblW w:type="pct" w:w="5000"/>
        <w:tblLook w:firstRow="1" w:lastRow="0" w:firstColumn="0" w:lastColumn="0" w:noHBand="0" w:noVBand="0" w:val="0020"/>
        <w:jc w:val="start"/>
        <w:tblLayout w:type="autofit"/>
      </w:tblPr>
      <w:tblGrid>
        <w:gridCol w:w="3960"/>
        <w:gridCol w:w="3960"/>
      </w:tblGrid>
      <w:tr>
        <w:trPr>
          <w:tblHeader w:val="true"/>
          <w:cantSplit/>
        </w:trPr>
        <w:tc>
          <w:tcPr>
            <w:tcW w:type="pct" w:w="2500"/>
          </w:tcPr>
          <w:p>
            <w:pPr>
              <w:pStyle w:val="Compact"/>
              <w:jc w:val="left"/>
            </w:pPr>
            <w:r>
              <w:rPr>
                <w:b/>
                <w:sz w:val="20"/>
              </w:rPr>
              <w:t xml:space="preserve">Structural condition</w:t>
            </w:r>
          </w:p>
        </w:tc>
        <w:tc>
          <w:tcPr>
            <w:tcW w:type="pct" w:w="2500"/>
          </w:tcPr>
          <w:p>
            <w:pPr>
              <w:pStyle w:val="Compact"/>
              <w:jc w:val="left"/>
            </w:pPr>
            <w:r>
              <w:rPr>
                <w:b/>
                <w:sz w:val="20"/>
              </w:rPr>
              <w:t xml:space="preserve">Role in our framework</w:t>
            </w:r>
          </w:p>
        </w:tc>
      </w:tr>
      <w:tr>
        <w:trPr>
          <w:cantSplit/>
        </w:trPr>
        <w:tc>
          <w:tcPr>
            <w:tcW w:type="pct" w:w="2500"/>
          </w:tcPr>
          <w:p>
            <w:pPr>
              <w:pStyle w:val="Compact"/>
              <w:jc w:val="left"/>
            </w:pPr>
            <w:r>
              <w:rPr>
                <w:sz w:val="20"/>
              </w:rPr>
              <w:t xml:space="preserve">Information asymmetry</w:t>
            </w:r>
          </w:p>
        </w:tc>
        <w:tc>
          <w:tcPr>
            <w:tcW w:type="pct" w:w="2500"/>
          </w:tcPr>
          <w:p>
            <w:pPr>
              <w:pStyle w:val="Compact"/>
              <w:jc w:val="left"/>
            </w:pPr>
            <w:r>
              <w:rPr>
                <w:sz w:val="20"/>
              </w:rPr>
              <w:t xml:space="preserve">Congress cannot verify what it is not shown; the post-1947 classification architecture, the classified-opinion framework of the Foreign Intelligence Surveillance Court (FISC), and EFTA’s agency-controlled processing practices can each sustain asymmetry.</w:t>
            </w:r>
          </w:p>
        </w:tc>
      </w:tr>
      <w:tr>
        <w:trPr>
          <w:cantSplit/>
        </w:trPr>
        <w:tc>
          <w:tcPr>
            <w:tcW w:type="pct" w:w="2500"/>
          </w:tcPr>
          <w:p>
            <w:pPr>
              <w:pStyle w:val="Compact"/>
              <w:jc w:val="left"/>
            </w:pPr>
            <w:r>
              <w:rPr>
                <w:sz w:val="20"/>
              </w:rPr>
              <w:t xml:space="preserve">Incentive misalignment</w:t>
            </w:r>
          </w:p>
        </w:tc>
        <w:tc>
          <w:tcPr>
            <w:tcW w:type="pct" w:w="2500"/>
          </w:tcPr>
          <w:p>
            <w:pPr>
              <w:pStyle w:val="Compact"/>
              <w:jc w:val="left"/>
            </w:pPr>
            <w:r>
              <w:rPr>
                <w:sz w:val="20"/>
              </w:rPr>
              <w:t xml:space="preserve">Oversight of secret domains yields limited political reward, while escalation yields visible political risk. The McCubbins-Schwartz fire-alarm model relies on citizens and organized groups to sound alarms; where secrecy denies outsiders information and few organized groups exist, alarms come late, an extension Zegart makes.</w:t>
            </w:r>
            <w:r>
              <w:rPr>
                <w:rStyle w:val="FootnoteReference"/>
                <w:sz w:val="20"/>
              </w:rPr>
              <w:footnoteReference w:id="50"/>
            </w:r>
          </w:p>
        </w:tc>
      </w:tr>
      <w:tr>
        <w:trPr>
          <w:cantSplit/>
        </w:trPr>
        <w:tc>
          <w:tcPr>
            <w:tcW w:type="pct" w:w="2500"/>
          </w:tcPr>
          <w:p>
            <w:pPr>
              <w:pStyle w:val="Compact"/>
              <w:jc w:val="left"/>
            </w:pPr>
            <w:r>
              <w:rPr>
                <w:sz w:val="20"/>
              </w:rPr>
              <w:t xml:space="preserve">Weak enforcement capacity</w:t>
            </w:r>
          </w:p>
        </w:tc>
        <w:tc>
          <w:tcPr>
            <w:tcW w:type="pct" w:w="2500"/>
          </w:tcPr>
          <w:p>
            <w:pPr>
              <w:pStyle w:val="Compact"/>
              <w:jc w:val="left"/>
            </w:pPr>
            <w:r>
              <w:rPr>
                <w:sz w:val="20"/>
              </w:rPr>
              <w:t xml:space="preserve">Criminal prosecution ordinarily depends on executive prosecutors; civil litigation, appropriations, chamber discipline, and negotiated concessions have different dependencies. Walsh’s Iran-Contra Final Report names the gap:</w:t>
            </w:r>
            <w:r>
              <w:rPr>
                <w:sz w:val="20"/>
              </w:rPr>
              <w:t xml:space="preserve"> </w:t>
            </w:r>
            <w:r>
              <w:rPr>
                <w:iCs/>
                <w:i/>
                <w:sz w:val="20"/>
              </w:rPr>
              <w:t xml:space="preserve">“</w:t>
            </w:r>
            <w:r>
              <w:rPr>
                <w:iCs/>
                <w:i/>
                <w:sz w:val="20"/>
              </w:rPr>
              <w:t xml:space="preserve">congressional oversight alone cannot correct the deficiencies that result when an attorney general abandons the law-enforcement responsibilities of that office and undertakes, instead, to protect the President.</w:t>
            </w:r>
            <w:r>
              <w:rPr>
                <w:iCs/>
                <w:i/>
                <w:sz w:val="20"/>
              </w:rPr>
              <w:t xml:space="preserve">”</w:t>
            </w:r>
            <w:r>
              <w:rPr>
                <w:rStyle w:val="FootnoteReference"/>
                <w:sz w:val="20"/>
              </w:rPr>
              <w:footnoteReference w:id="51"/>
            </w:r>
          </w:p>
        </w:tc>
      </w:tr>
      <w:tr>
        <w:trPr>
          <w:cantSplit/>
        </w:trPr>
        <w:tc>
          <w:tcPr>
            <w:tcW w:type="pct" w:w="2500"/>
          </w:tcPr>
          <w:p>
            <w:pPr>
              <w:pStyle w:val="Compact"/>
              <w:jc w:val="left"/>
            </w:pPr>
            <w:r>
              <w:rPr>
                <w:sz w:val="20"/>
              </w:rPr>
              <w:t xml:space="preserve">Limited expertise</w:t>
            </w:r>
          </w:p>
        </w:tc>
        <w:tc>
          <w:tcPr>
            <w:tcW w:type="pct" w:w="2500"/>
          </w:tcPr>
          <w:p>
            <w:pPr>
              <w:pStyle w:val="Compact"/>
              <w:jc w:val="left"/>
            </w:pPr>
            <w:r>
              <w:rPr>
                <w:sz w:val="20"/>
              </w:rPr>
              <w:t xml:space="preserve">Intelligence experience is rare in Congress (in the 116th Congress, eighteen of 535 members had ever worked in an intelligence agency);</w:t>
            </w:r>
            <w:r>
              <w:rPr>
                <w:rStyle w:val="FootnoteReference"/>
                <w:sz w:val="20"/>
              </w:rPr>
              <w:footnoteReference w:id="52"/>
            </w:r>
            <w:r>
              <w:rPr>
                <w:sz w:val="20"/>
              </w:rPr>
              <w:t xml:space="preserve"> </w:t>
            </w:r>
            <w:r>
              <w:rPr>
                <w:sz w:val="20"/>
              </w:rPr>
              <w:t xml:space="preserve">the limited-notification architecture isolates informed members from the staff, counsel, and expertise needed to challenge what they receive.</w:t>
            </w:r>
          </w:p>
        </w:tc>
      </w:tr>
    </w:tbl>
    <w:p>
      <w:pPr>
        <w:pStyle w:val="BodyText"/>
      </w:pPr>
      <w:r>
        <w:t xml:space="preserve">Two of the ten indicators bracket each episode: the source of the triggering disclosure and the individual-accountability outcome. Eight process indicators describe the intervening demand, offer, and response. They are coding questions, not independent observations, and no cutoff is applied to them. Mixed and uncertain observations stay visible instead of being rounded into affirmative scores. The surviving Helms plea and fine already defeat a universal absence-of-accountability claim.</w:t>
      </w:r>
      <w:r>
        <w:rPr>
          <w:rStyle w:val="FootnoteReference"/>
        </w:rPr>
        <w:footnoteReference w:id="53"/>
      </w:r>
    </w:p>
    <w:p>
      <w:pPr>
        <w:pStyle w:val="BodyText"/>
      </w:pPr>
      <w:r>
        <w:rPr>
          <w:bCs/>
          <w:b/>
        </w:rPr>
        <w:t xml:space="preserve">Table 4. Observable Indicators of Negotiated Oversight, by Phase</w:t>
      </w:r>
    </w:p>
    <w:tbl>
      <w:tblPr>
        <w:tblStyle w:val="Table"/>
        <w:tblW w:type="pct" w:w="5000"/>
        <w:tblLook w:firstRow="1" w:lastRow="0" w:firstColumn="0" w:lastColumn="0" w:noHBand="0" w:noVBand="0" w:val="0020"/>
        <w:jc w:val="start"/>
        <w:tblLayout w:type="autofit"/>
      </w:tblPr>
      <w:tblGrid>
        <w:gridCol w:w="2640"/>
        <w:gridCol w:w="2640"/>
        <w:gridCol w:w="2640"/>
      </w:tblGrid>
      <w:tr>
        <w:trPr>
          <w:tblHeader w:val="true"/>
          <w:cantSplit/>
        </w:trPr>
        <w:tc>
          <w:tcPr>
            <w:tcW w:type="pct" w:w="1667"/>
          </w:tcPr>
          <w:p>
            <w:pPr>
              <w:pStyle w:val="Compact"/>
              <w:jc w:val="left"/>
            </w:pPr>
            <w:r>
              <w:rPr>
                <w:b/>
                <w:sz w:val="20"/>
              </w:rPr>
              <w:t xml:space="preserve">Phase</w:t>
            </w:r>
          </w:p>
        </w:tc>
        <w:tc>
          <w:tcPr>
            <w:tcW w:type="pct" w:w="1667"/>
          </w:tcPr>
          <w:p>
            <w:pPr>
              <w:pStyle w:val="Compact"/>
              <w:jc w:val="left"/>
            </w:pPr>
            <w:r>
              <w:rPr>
                <w:b/>
                <w:sz w:val="20"/>
              </w:rPr>
              <w:t xml:space="preserve">Indicator</w:t>
            </w:r>
          </w:p>
        </w:tc>
        <w:tc>
          <w:tcPr>
            <w:tcW w:type="pct" w:w="1666"/>
          </w:tcPr>
          <w:p>
            <w:pPr>
              <w:pStyle w:val="Compact"/>
              <w:jc w:val="left"/>
            </w:pPr>
            <w:r>
              <w:rPr>
                <w:b/>
                <w:sz w:val="20"/>
              </w:rPr>
              <w:t xml:space="preserve">What it looks like in practice</w:t>
            </w:r>
          </w:p>
        </w:tc>
      </w:tr>
      <w:tr>
        <w:trPr>
          <w:cantSplit/>
        </w:trPr>
        <w:tc>
          <w:tcPr>
            <w:tcW w:type="pct" w:w="1667"/>
          </w:tcPr>
          <w:p>
            <w:pPr>
              <w:pStyle w:val="Compact"/>
              <w:jc w:val="left"/>
            </w:pPr>
            <w:r>
              <w:rPr>
                <w:sz w:val="20"/>
              </w:rPr>
              <w:t xml:space="preserve">1 — The scandal</w:t>
            </w:r>
          </w:p>
        </w:tc>
        <w:tc>
          <w:tcPr>
            <w:tcW w:type="pct" w:w="1667"/>
          </w:tcPr>
          <w:p>
            <w:pPr>
              <w:pStyle w:val="Compact"/>
              <w:jc w:val="left"/>
            </w:pPr>
            <w:r>
              <w:rPr>
                <w:sz w:val="20"/>
              </w:rPr>
              <w:t xml:space="preserve">Exogenous rupture</w:t>
            </w:r>
            <w:r>
              <w:rPr>
                <w:sz w:val="20"/>
              </w:rPr>
              <w:t xml:space="preserve"> </w:t>
            </w:r>
            <w:r>
              <w:rPr>
                <w:iCs/>
                <w:i/>
                <w:sz w:val="20"/>
              </w:rPr>
              <w:t xml:space="preserve">(bracket)</w:t>
            </w:r>
          </w:p>
        </w:tc>
        <w:tc>
          <w:tcPr>
            <w:tcW w:type="pct" w:w="1666"/>
          </w:tcPr>
          <w:p>
            <w:pPr>
              <w:pStyle w:val="Compact"/>
              <w:jc w:val="left"/>
            </w:pPr>
            <w:r>
              <w:rPr>
                <w:sz w:val="20"/>
              </w:rPr>
              <w:t xml:space="preserve">The triggering disclosure breaks from outside the oversight channel (investigative press, leak, or litigation), not from Congress’s own oversight machinery; the fire alarm rings externally.</w:t>
            </w:r>
          </w:p>
        </w:tc>
      </w:tr>
      <w:tr>
        <w:trPr>
          <w:cantSplit/>
        </w:trPr>
        <w:tc>
          <w:tcPr>
            <w:tcW w:type="pct" w:w="1667"/>
          </w:tcPr>
          <w:p>
            <w:pPr>
              <w:pStyle w:val="Compact"/>
              <w:jc w:val="left"/>
            </w:pPr>
            <w:r>
              <w:rPr>
                <w:sz w:val="20"/>
              </w:rPr>
              <w:t xml:space="preserve">2 — Congressional request</w:t>
            </w:r>
          </w:p>
        </w:tc>
        <w:tc>
          <w:tcPr>
            <w:tcW w:type="pct" w:w="1667"/>
          </w:tcPr>
          <w:p>
            <w:pPr>
              <w:pStyle w:val="Compact"/>
              <w:jc w:val="left"/>
            </w:pPr>
            <w:r>
              <w:rPr>
                <w:sz w:val="20"/>
              </w:rPr>
              <w:t xml:space="preserve">Demand posture</w:t>
            </w:r>
          </w:p>
        </w:tc>
        <w:tc>
          <w:tcPr>
            <w:tcW w:type="pct" w:w="1666"/>
          </w:tcPr>
          <w:p>
            <w:pPr>
              <w:pStyle w:val="Compact"/>
              <w:jc w:val="left"/>
            </w:pPr>
            <w:r>
              <w:rPr>
                <w:sz w:val="20"/>
              </w:rPr>
              <w:t xml:space="preserve">Congress reacts to the scandal with an investigation whose demand is bounded by what it can compel; the posture ranges from negotiated access to compelled production.</w:t>
            </w:r>
          </w:p>
        </w:tc>
      </w:tr>
      <w:tr>
        <w:trPr>
          <w:cantSplit/>
        </w:trPr>
        <w:tc>
          <w:tcPr>
            <w:tcW w:type="pct" w:w="1667"/>
          </w:tcPr>
          <w:p>
            <w:pPr>
              <w:pStyle w:val="Compact"/>
              <w:jc w:val="left"/>
            </w:pPr>
            <w:r>
              <w:rPr>
                <w:sz w:val="20"/>
              </w:rPr>
              <w:t xml:space="preserve">3 — Executive offer</w:t>
            </w:r>
          </w:p>
        </w:tc>
        <w:tc>
          <w:tcPr>
            <w:tcW w:type="pct" w:w="1667"/>
          </w:tcPr>
          <w:p>
            <w:pPr>
              <w:pStyle w:val="Compact"/>
              <w:jc w:val="left"/>
            </w:pPr>
            <w:r>
              <w:rPr>
                <w:sz w:val="20"/>
              </w:rPr>
              <w:t xml:space="preserve">Selective disclosure</w:t>
            </w:r>
          </w:p>
        </w:tc>
        <w:tc>
          <w:tcPr>
            <w:tcW w:type="pct" w:w="1666"/>
          </w:tcPr>
          <w:p>
            <w:pPr>
              <w:pStyle w:val="Compact"/>
              <w:jc w:val="left"/>
            </w:pPr>
            <w:r>
              <w:rPr>
                <w:sz w:val="20"/>
              </w:rPr>
              <w:t xml:space="preserve">Disclosure is partial enough to preserve the appearance of oversight without enabling full checking.</w:t>
            </w:r>
          </w:p>
        </w:tc>
      </w:tr>
      <w:tr>
        <w:trPr>
          <w:cantSplit/>
        </w:trPr>
        <w:tc>
          <w:tcPr>
            <w:tcW w:type="pct" w:w="1667"/>
          </w:tcPr>
          <w:p>
            <w:pPr>
              <w:pStyle w:val="Compact"/>
              <w:jc w:val="left"/>
            </w:pPr>
            <w:r>
              <w:rPr>
                <w:sz w:val="20"/>
              </w:rPr>
              <w:t xml:space="preserve">3 — Executive offer</w:t>
            </w:r>
          </w:p>
        </w:tc>
        <w:tc>
          <w:tcPr>
            <w:tcW w:type="pct" w:w="1667"/>
          </w:tcPr>
          <w:p>
            <w:pPr>
              <w:pStyle w:val="Compact"/>
              <w:jc w:val="left"/>
            </w:pPr>
            <w:r>
              <w:rPr>
                <w:sz w:val="20"/>
              </w:rPr>
              <w:t xml:space="preserve">Justification proliferation</w:t>
            </w:r>
          </w:p>
        </w:tc>
        <w:tc>
          <w:tcPr>
            <w:tcW w:type="pct" w:w="1666"/>
          </w:tcPr>
          <w:p>
            <w:pPr>
              <w:pStyle w:val="Compact"/>
              <w:jc w:val="left"/>
            </w:pPr>
            <w:r>
              <w:rPr>
                <w:sz w:val="20"/>
              </w:rPr>
              <w:t xml:space="preserve">Categories of withholding or redaction expand beyond the statute’s clear terms.</w:t>
            </w:r>
          </w:p>
        </w:tc>
      </w:tr>
      <w:tr>
        <w:trPr>
          <w:cantSplit/>
        </w:trPr>
        <w:tc>
          <w:tcPr>
            <w:tcW w:type="pct" w:w="1667"/>
          </w:tcPr>
          <w:p>
            <w:pPr>
              <w:pStyle w:val="Compact"/>
              <w:jc w:val="left"/>
            </w:pPr>
            <w:r>
              <w:rPr>
                <w:sz w:val="20"/>
              </w:rPr>
              <w:t xml:space="preserve">3 — Executive offer</w:t>
            </w:r>
          </w:p>
        </w:tc>
        <w:tc>
          <w:tcPr>
            <w:tcW w:type="pct" w:w="1667"/>
          </w:tcPr>
          <w:p>
            <w:pPr>
              <w:pStyle w:val="Compact"/>
              <w:jc w:val="left"/>
            </w:pPr>
            <w:r>
              <w:rPr>
                <w:sz w:val="20"/>
              </w:rPr>
              <w:t xml:space="preserve">Delayed compliance</w:t>
            </w:r>
          </w:p>
        </w:tc>
        <w:tc>
          <w:tcPr>
            <w:tcW w:type="pct" w:w="1666"/>
          </w:tcPr>
          <w:p>
            <w:pPr>
              <w:pStyle w:val="Compact"/>
              <w:jc w:val="left"/>
            </w:pPr>
            <w:r>
              <w:rPr>
                <w:sz w:val="20"/>
              </w:rPr>
              <w:t xml:space="preserve">Disclosure arrives long after the demand, or not at all; the codebook dates it (Appendix B).</w:t>
            </w:r>
          </w:p>
        </w:tc>
      </w:tr>
      <w:tr>
        <w:trPr>
          <w:cantSplit/>
        </w:trPr>
        <w:tc>
          <w:tcPr>
            <w:tcW w:type="pct" w:w="1667"/>
          </w:tcPr>
          <w:p>
            <w:pPr>
              <w:pStyle w:val="Compact"/>
              <w:jc w:val="left"/>
            </w:pPr>
            <w:r>
              <w:rPr>
                <w:sz w:val="20"/>
              </w:rPr>
              <w:t xml:space="preserve">3 — Executive offer</w:t>
            </w:r>
          </w:p>
        </w:tc>
        <w:tc>
          <w:tcPr>
            <w:tcW w:type="pct" w:w="1667"/>
          </w:tcPr>
          <w:p>
            <w:pPr>
              <w:pStyle w:val="Compact"/>
              <w:jc w:val="left"/>
            </w:pPr>
            <w:r>
              <w:rPr>
                <w:sz w:val="20"/>
              </w:rPr>
              <w:t xml:space="preserve">Executive self-definition</w:t>
            </w:r>
          </w:p>
        </w:tc>
        <w:tc>
          <w:tcPr>
            <w:tcW w:type="pct" w:w="1666"/>
          </w:tcPr>
          <w:p>
            <w:pPr>
              <w:pStyle w:val="Compact"/>
              <w:jc w:val="left"/>
            </w:pPr>
            <w:r>
              <w:rPr>
                <w:sz w:val="20"/>
              </w:rPr>
              <w:t xml:space="preserve">The executive states its own reading of what compliance requires and acts on it.</w:t>
            </w:r>
          </w:p>
        </w:tc>
      </w:tr>
      <w:tr>
        <w:trPr>
          <w:cantSplit/>
        </w:trPr>
        <w:tc>
          <w:tcPr>
            <w:tcW w:type="pct" w:w="1667"/>
          </w:tcPr>
          <w:p>
            <w:pPr>
              <w:pStyle w:val="Compact"/>
              <w:jc w:val="left"/>
            </w:pPr>
            <w:r>
              <w:rPr>
                <w:sz w:val="20"/>
              </w:rPr>
              <w:t xml:space="preserve">4 — Congressional response</w:t>
            </w:r>
          </w:p>
        </w:tc>
        <w:tc>
          <w:tcPr>
            <w:tcW w:type="pct" w:w="1667"/>
          </w:tcPr>
          <w:p>
            <w:pPr>
              <w:pStyle w:val="Compact"/>
              <w:jc w:val="left"/>
            </w:pPr>
            <w:r>
              <w:rPr>
                <w:sz w:val="20"/>
              </w:rPr>
              <w:t xml:space="preserve">Majority declines an available remedy</w:t>
            </w:r>
          </w:p>
        </w:tc>
        <w:tc>
          <w:tcPr>
            <w:tcW w:type="pct" w:w="1666"/>
          </w:tcPr>
          <w:p>
            <w:pPr>
              <w:pStyle w:val="Compact"/>
              <w:jc w:val="left"/>
            </w:pPr>
            <w:r>
              <w:rPr>
                <w:sz w:val="20"/>
              </w:rPr>
              <w:t xml:space="preserve">A committee or chamber majority does not use a remedy open to it (a contempt vote, a civil action, a disclosure procedure, legislation). Evidence: recorded votes and unused procedures; merely considering a legally contested route does not establish its availability.</w:t>
            </w:r>
          </w:p>
        </w:tc>
      </w:tr>
      <w:tr>
        <w:trPr>
          <w:cantSplit/>
        </w:trPr>
        <w:tc>
          <w:tcPr>
            <w:tcW w:type="pct" w:w="1667"/>
          </w:tcPr>
          <w:p>
            <w:pPr>
              <w:pStyle w:val="Compact"/>
              <w:jc w:val="left"/>
            </w:pPr>
            <w:r>
              <w:rPr>
                <w:sz w:val="20"/>
              </w:rPr>
              <w:t xml:space="preserve">4 — Congressional response</w:t>
            </w:r>
          </w:p>
        </w:tc>
        <w:tc>
          <w:tcPr>
            <w:tcW w:type="pct" w:w="1667"/>
          </w:tcPr>
          <w:p>
            <w:pPr>
              <w:pStyle w:val="Compact"/>
              <w:jc w:val="left"/>
            </w:pPr>
            <w:r>
              <w:rPr>
                <w:sz w:val="20"/>
              </w:rPr>
              <w:t xml:space="preserve">Remedy attempted and defeated outside Congress</w:t>
            </w:r>
          </w:p>
        </w:tc>
        <w:tc>
          <w:tcPr>
            <w:tcW w:type="pct" w:w="1666"/>
          </w:tcPr>
          <w:p>
            <w:pPr>
              <w:pStyle w:val="Compact"/>
              <w:jc w:val="left"/>
            </w:pPr>
            <w:r>
              <w:rPr>
                <w:sz w:val="20"/>
              </w:rPr>
              <w:t xml:space="preserve">A remedy that Congress or its members invoked fails elsewhere (a court ruling, a declination to prosecute, a reversal). Evidence: the congressional initiator and request, the outside decision-maker, the requested result, and the observed disposition; an acknowledged request alone is not partial success.</w:t>
            </w:r>
          </w:p>
        </w:tc>
      </w:tr>
      <w:tr>
        <w:trPr>
          <w:cantSplit/>
        </w:trPr>
        <w:tc>
          <w:tcPr>
            <w:tcW w:type="pct" w:w="1667"/>
          </w:tcPr>
          <w:p>
            <w:pPr>
              <w:pStyle w:val="Compact"/>
              <w:jc w:val="left"/>
            </w:pPr>
            <w:r>
              <w:rPr>
                <w:sz w:val="20"/>
              </w:rPr>
              <w:t xml:space="preserve">4 — Congressional response</w:t>
            </w:r>
          </w:p>
        </w:tc>
        <w:tc>
          <w:tcPr>
            <w:tcW w:type="pct" w:w="1667"/>
          </w:tcPr>
          <w:p>
            <w:pPr>
              <w:pStyle w:val="Compact"/>
              <w:jc w:val="left"/>
            </w:pPr>
            <w:r>
              <w:rPr>
                <w:sz w:val="20"/>
              </w:rPr>
              <w:t xml:space="preserve">Informal negotiation</w:t>
            </w:r>
          </w:p>
        </w:tc>
        <w:tc>
          <w:tcPr>
            <w:tcW w:type="pct" w:w="1666"/>
          </w:tcPr>
          <w:p>
            <w:pPr>
              <w:pStyle w:val="Compact"/>
              <w:jc w:val="left"/>
            </w:pPr>
            <w:r>
              <w:rPr>
                <w:sz w:val="20"/>
              </w:rPr>
              <w:t xml:space="preserve">Oversight proceeds through tacit bargaining rather than formal enforcement.</w:t>
            </w:r>
          </w:p>
        </w:tc>
      </w:tr>
      <w:tr>
        <w:trPr>
          <w:cantSplit/>
        </w:trPr>
        <w:tc>
          <w:tcPr>
            <w:tcW w:type="pct" w:w="1667"/>
          </w:tcPr>
          <w:p>
            <w:pPr>
              <w:pStyle w:val="Compact"/>
              <w:jc w:val="left"/>
            </w:pPr>
            <w:r>
              <w:rPr>
                <w:sz w:val="20"/>
              </w:rPr>
              <w:t xml:space="preserve">5 — Accountability outcome</w:t>
            </w:r>
          </w:p>
        </w:tc>
        <w:tc>
          <w:tcPr>
            <w:tcW w:type="pct" w:w="1667"/>
          </w:tcPr>
          <w:p>
            <w:pPr>
              <w:pStyle w:val="Compact"/>
              <w:jc w:val="left"/>
            </w:pPr>
            <w:r>
              <w:rPr>
                <w:sz w:val="20"/>
              </w:rPr>
              <w:t xml:space="preserve">Limited individual accountability</w:t>
            </w:r>
            <w:r>
              <w:rPr>
                <w:sz w:val="20"/>
              </w:rPr>
              <w:t xml:space="preserve"> </w:t>
            </w:r>
            <w:r>
              <w:rPr>
                <w:iCs/>
                <w:i/>
                <w:sz w:val="20"/>
              </w:rPr>
              <w:t xml:space="preserve">(bracket)</w:t>
            </w:r>
          </w:p>
        </w:tc>
        <w:tc>
          <w:tcPr>
            <w:tcW w:type="pct" w:w="1666"/>
          </w:tcPr>
          <w:p>
            <w:pPr>
              <w:pStyle w:val="Compact"/>
              <w:jc w:val="left"/>
            </w:pPr>
            <w:r>
              <w:rPr>
                <w:sz w:val="20"/>
              </w:rPr>
              <w:t xml:space="preserve">Individual accountability for the underlying abuse of power is limited: it is deferred, achieved and then narrowed or nullified by reversal or pardon, or declined at the outset. Surviving sanctions are recorded separately as counterevidence (Table 7 codes mixed cases ◑; Table 6 states how surviving sanctions are recorded). (Accountability of private principals for ordinary crimes, where it occurs, is a separate question this indicator does not track.)</w:t>
            </w:r>
          </w:p>
        </w:tc>
      </w:tr>
    </w:tbl>
    <w:p>
      <w:pPr>
        <w:pStyle w:val="BodyText"/>
      </w:pPr>
      <w:r>
        <w:t xml:space="preserve">In every historical case the triggering disclosure came from outside any access or standing rule Congress had set up: a press report, a leak, a shootdown.</w:t>
      </w:r>
      <w:r>
        <w:rPr>
          <w:rStyle w:val="FootnoteReference"/>
        </w:rPr>
        <w:footnoteReference w:id="54"/>
      </w:r>
      <w:r>
        <w:t xml:space="preserve"> </w:t>
      </w:r>
      <w:r>
        <w:t xml:space="preserve">That is the fire-alarm model working without its usual infrastructure (Johnson had already called the post-1975 scandals fire alarms),</w:t>
      </w:r>
      <w:r>
        <w:rPr>
          <w:vertAlign w:val="superscript"/>
        </w:rPr>
        <w:t xml:space="preserve">see n. 11</w:t>
      </w:r>
      <w:r>
        <w:t xml:space="preserve"> </w:t>
      </w:r>
      <w:r>
        <w:t xml:space="preserve">and it may account for the timing of oversight more than for its outcome. Alarms were also raised inside the channel: the Church Committee found and disclosed a concealed interception program, which counts against the bracket under Table 6; the CIA resisted Vice Chairman Rockefeller’s inquiry into its interrogation program;</w:t>
      </w:r>
      <w:r>
        <w:rPr>
          <w:rStyle w:val="FootnoteReference"/>
        </w:rPr>
        <w:footnoteReference w:id="55"/>
      </w:r>
      <w:r>
        <w:t xml:space="preserve"> </w:t>
      </w:r>
      <w:r>
        <w:t xml:space="preserve">and Senators Wyden and Udall warned publicly within classification limits.</w:t>
      </w:r>
    </w:p>
    <w:p>
      <w:pPr>
        <w:pStyle w:val="BodyText"/>
      </w:pPr>
      <w:r>
        <w:t xml:space="preserve">Phase 3 carries a dynamic the single-indicator rows do not capture: the</w:t>
      </w:r>
      <w:r>
        <w:t xml:space="preserve"> </w:t>
      </w:r>
      <w:r>
        <w:rPr>
          <w:iCs/>
          <w:i/>
        </w:rPr>
        <w:t xml:space="preserve">graduated offer</w:t>
      </w:r>
      <w:r>
        <w:t xml:space="preserve">. The executive offer is rarely one release. It is a sequence in which a limited first disclosure is enlarged only under continued pressure, each increment described as fuller transparency. It runs through the Phase 3 indicators and adds none of its own.</w:t>
      </w:r>
    </w:p>
    <w:p>
      <w:pPr>
        <w:pStyle w:val="BodyText"/>
      </w:pPr>
      <w:r>
        <w:rPr>
          <w:bCs/>
          <w:b/>
        </w:rPr>
        <w:t xml:space="preserve">Table 5. What the Vocabulary Describes at Each Phase (descriptions, not predictions)</w:t>
      </w:r>
    </w:p>
    <w:tbl>
      <w:tblPr>
        <w:tblStyle w:val="Table"/>
        <w:tblW w:type="pct" w:w="5000"/>
        <w:tblLook w:firstRow="1" w:lastRow="0" w:firstColumn="0" w:lastColumn="0" w:noHBand="0" w:noVBand="0" w:val="0020"/>
        <w:jc w:val="start"/>
        <w:tblLayout w:type="autofit"/>
      </w:tblPr>
      <w:tblGrid>
        <w:gridCol w:w="3960"/>
        <w:gridCol w:w="3960"/>
      </w:tblGrid>
      <w:tr>
        <w:trPr>
          <w:tblHeader w:val="true"/>
          <w:cantSplit/>
        </w:trPr>
        <w:tc>
          <w:tcPr>
            <w:tcW w:type="pct" w:w="2500"/>
          </w:tcPr>
          <w:p>
            <w:pPr>
              <w:pStyle w:val="Compact"/>
              <w:jc w:val="left"/>
            </w:pPr>
            <w:r>
              <w:rPr>
                <w:b/>
                <w:sz w:val="20"/>
              </w:rPr>
              <w:t xml:space="preserve">Phase</w:t>
            </w:r>
          </w:p>
        </w:tc>
        <w:tc>
          <w:tcPr>
            <w:tcW w:type="pct" w:w="2500"/>
          </w:tcPr>
          <w:p>
            <w:pPr>
              <w:pStyle w:val="Compact"/>
              <w:jc w:val="left"/>
            </w:pPr>
            <w:r>
              <w:rPr>
                <w:b/>
                <w:sz w:val="20"/>
              </w:rPr>
              <w:t xml:space="preserve">Pattern the label describes</w:t>
            </w:r>
          </w:p>
        </w:tc>
      </w:tr>
      <w:tr>
        <w:trPr>
          <w:cantSplit/>
        </w:trPr>
        <w:tc>
          <w:tcPr>
            <w:tcW w:type="pct" w:w="2500"/>
          </w:tcPr>
          <w:p>
            <w:pPr>
              <w:pStyle w:val="Compact"/>
              <w:jc w:val="left"/>
            </w:pPr>
            <w:r>
              <w:rPr>
                <w:sz w:val="20"/>
              </w:rPr>
              <w:t xml:space="preserve">Triggering disclosure</w:t>
            </w:r>
          </w:p>
        </w:tc>
        <w:tc>
          <w:tcPr>
            <w:tcW w:type="pct" w:w="2500"/>
          </w:tcPr>
          <w:p>
            <w:pPr>
              <w:pStyle w:val="Compact"/>
              <w:jc w:val="left"/>
            </w:pPr>
            <w:r>
              <w:rPr>
                <w:sz w:val="20"/>
              </w:rPr>
              <w:t xml:space="preserve">The disclosure that forces the conduct into view originates outside the oversight channel (press, leak, or litigation), not from Congress’s own investigative machinery.</w:t>
            </w:r>
          </w:p>
        </w:tc>
      </w:tr>
      <w:tr>
        <w:trPr>
          <w:cantSplit/>
        </w:trPr>
        <w:tc>
          <w:tcPr>
            <w:tcW w:type="pct" w:w="2500"/>
          </w:tcPr>
          <w:p>
            <w:pPr>
              <w:pStyle w:val="Compact"/>
              <w:jc w:val="left"/>
            </w:pPr>
            <w:r>
              <w:rPr>
                <w:sz w:val="20"/>
              </w:rPr>
              <w:t xml:space="preserve">Congressional request</w:t>
            </w:r>
          </w:p>
        </w:tc>
        <w:tc>
          <w:tcPr>
            <w:tcW w:type="pct" w:w="2500"/>
          </w:tcPr>
          <w:p>
            <w:pPr>
              <w:pStyle w:val="Compact"/>
              <w:jc w:val="left"/>
            </w:pPr>
            <w:r>
              <w:rPr>
                <w:sz w:val="20"/>
              </w:rPr>
              <w:t xml:space="preserve">Congress reacts with an investigation whose demand is bounded by what it can compel, ranging from negotiated access to compelled production.</w:t>
            </w:r>
          </w:p>
        </w:tc>
      </w:tr>
      <w:tr>
        <w:trPr>
          <w:cantSplit/>
        </w:trPr>
        <w:tc>
          <w:tcPr>
            <w:tcW w:type="pct" w:w="2500"/>
          </w:tcPr>
          <w:p>
            <w:pPr>
              <w:pStyle w:val="Compact"/>
              <w:jc w:val="left"/>
            </w:pPr>
            <w:r>
              <w:rPr>
                <w:sz w:val="20"/>
              </w:rPr>
              <w:t xml:space="preserve">Executive response</w:t>
            </w:r>
          </w:p>
        </w:tc>
        <w:tc>
          <w:tcPr>
            <w:tcW w:type="pct" w:w="2500"/>
          </w:tcPr>
          <w:p>
            <w:pPr>
              <w:pStyle w:val="Compact"/>
              <w:jc w:val="left"/>
            </w:pPr>
            <w:r>
              <w:rPr>
                <w:sz w:val="20"/>
              </w:rPr>
              <w:t xml:space="preserve">The executive preserves formal compliance while narrowing substantive accountability through selective disclosure, delay, self-definition, and expanded justification.</w:t>
            </w:r>
          </w:p>
        </w:tc>
      </w:tr>
      <w:tr>
        <w:trPr>
          <w:cantSplit/>
        </w:trPr>
        <w:tc>
          <w:tcPr>
            <w:tcW w:type="pct" w:w="2500"/>
          </w:tcPr>
          <w:p>
            <w:pPr>
              <w:pStyle w:val="Compact"/>
              <w:jc w:val="left"/>
            </w:pPr>
            <w:r>
              <w:rPr>
                <w:sz w:val="20"/>
              </w:rPr>
              <w:t xml:space="preserve">Congressional response</w:t>
            </w:r>
          </w:p>
        </w:tc>
        <w:tc>
          <w:tcPr>
            <w:tcW w:type="pct" w:w="2500"/>
          </w:tcPr>
          <w:p>
            <w:pPr>
              <w:pStyle w:val="Compact"/>
              <w:jc w:val="left"/>
            </w:pPr>
            <w:r>
              <w:rPr>
                <w:sz w:val="20"/>
              </w:rPr>
              <w:t xml:space="preserve">A committee or chamber majority objects within constrained channels, escalates weakly or late, or declines an available remedy; remedies pursued elsewhere fail.</w:t>
            </w:r>
          </w:p>
        </w:tc>
      </w:tr>
      <w:tr>
        <w:trPr>
          <w:cantSplit/>
        </w:trPr>
        <w:tc>
          <w:tcPr>
            <w:tcW w:type="pct" w:w="2500"/>
          </w:tcPr>
          <w:p>
            <w:pPr>
              <w:pStyle w:val="Compact"/>
              <w:jc w:val="left"/>
            </w:pPr>
            <w:r>
              <w:rPr>
                <w:sz w:val="20"/>
              </w:rPr>
              <w:t xml:space="preserve">Reform outcome</w:t>
            </w:r>
          </w:p>
        </w:tc>
        <w:tc>
          <w:tcPr>
            <w:tcW w:type="pct" w:w="2500"/>
          </w:tcPr>
          <w:p>
            <w:pPr>
              <w:pStyle w:val="Compact"/>
              <w:jc w:val="left"/>
            </w:pPr>
            <w:r>
              <w:rPr>
                <w:sz w:val="20"/>
              </w:rPr>
              <w:t xml:space="preserve">Reform follows; whether it alters the bargaining conditions is recorded case by case (Table 6).</w:t>
            </w:r>
          </w:p>
        </w:tc>
      </w:tr>
      <w:tr>
        <w:trPr>
          <w:cantSplit/>
        </w:trPr>
        <w:tc>
          <w:tcPr>
            <w:tcW w:type="pct" w:w="2500"/>
          </w:tcPr>
          <w:p>
            <w:pPr>
              <w:pStyle w:val="Compact"/>
              <w:jc w:val="left"/>
            </w:pPr>
            <w:r>
              <w:rPr>
                <w:sz w:val="20"/>
              </w:rPr>
              <w:t xml:space="preserve">Accountability outcome</w:t>
            </w:r>
          </w:p>
        </w:tc>
        <w:tc>
          <w:tcPr>
            <w:tcW w:type="pct" w:w="2500"/>
          </w:tcPr>
          <w:p>
            <w:pPr>
              <w:pStyle w:val="Compact"/>
              <w:jc w:val="left"/>
            </w:pPr>
            <w:r>
              <w:rPr>
                <w:sz w:val="20"/>
              </w:rPr>
              <w:t xml:space="preserve">Durable individual accountability for the underlying abuse is limited and often narrowed by reversal, pardon, or declination. Each surviving sanction against an identified official is recorded as counterevidence (Table 6).</w:t>
            </w:r>
          </w:p>
        </w:tc>
      </w:tr>
    </w:tbl>
    <w:p>
      <w:pPr>
        <w:pStyle w:val="BodyText"/>
      </w:pPr>
      <w:r>
        <w:t xml:space="preserve">The comparison is exploratory and descriptive. The indicators were developed with these episodes, so their fit cannot validate anything, and no cutoff is applied. Several cells moved when the hearing record was read more fully or the codebook was revised (Appendix B): firm marks track the depth of reading as well as the record. The Watergate tapes dispute of 1973–74 is coded on the same rows as a contrast (Table 7), scored like the others on Congress’s own demand, the Senate committee’s subpoenas for the tapes. Its early indicators fall within the other episodes’ range: the subpoenas were refused and edited transcripts replaced the tapes; the committee’s suit was later dismissed without production.</w:t>
      </w:r>
      <w:r>
        <w:rPr>
          <w:rStyle w:val="FootnoteReference"/>
        </w:rPr>
        <w:footnoteReference w:id="56"/>
      </w:r>
      <w:r>
        <w:t xml:space="preserve"> </w:t>
      </w:r>
      <w:r>
        <w:t xml:space="preserve">The tapes came instead through a Special Prosecutor whom a Justice Department regulation insulated, on a criminal trial subpoena in a matter without classification barriers, and the Supreme Court reserved congressional demands and national-security secrets.</w:t>
      </w:r>
      <w:r>
        <w:rPr>
          <w:rStyle w:val="FootnoteReference"/>
        </w:rPr>
        <w:footnoteReference w:id="57"/>
      </w:r>
      <w:r>
        <w:t xml:space="preserve"> </w:t>
      </w:r>
      <w:r>
        <w:t xml:space="preserve">The contrast therefore points to the enforcement channel and the secrecy conditions, not to the early indicators, as what separated this outcome; it is not court-enforced congressional oversight. It is one episode coded by the same author, and a prospectively selected case remains for a later edition.</w:t>
      </w:r>
    </w:p>
    <w:p>
      <w:pPr>
        <w:pStyle w:val="BodyText"/>
      </w:pPr>
      <w:r>
        <w:rPr>
          <w:bCs/>
          <w:b/>
        </w:rPr>
        <w:t xml:space="preserve">Table 6. Observations that would count against the description</w:t>
      </w:r>
    </w:p>
    <w:tbl>
      <w:tblPr>
        <w:tblStyle w:val="Table"/>
        <w:tblW w:type="pct" w:w="5000"/>
        <w:tblLook w:firstRow="1" w:lastRow="0" w:firstColumn="0" w:lastColumn="0" w:noHBand="0" w:noVBand="0" w:val="0020"/>
        <w:jc w:val="start"/>
        <w:tblLayout w:type="autofit"/>
      </w:tblPr>
      <w:tblGrid>
        <w:gridCol w:w="2640"/>
        <w:gridCol w:w="2640"/>
        <w:gridCol w:w="2640"/>
      </w:tblGrid>
      <w:tr>
        <w:trPr>
          <w:tblHeader w:val="true"/>
          <w:cantSplit/>
        </w:trPr>
        <w:tc>
          <w:tcPr>
            <w:tcW w:type="pct" w:w="1667"/>
          </w:tcPr>
          <w:p>
            <w:pPr>
              <w:pStyle w:val="Compact"/>
              <w:jc w:val="left"/>
            </w:pPr>
            <w:r>
              <w:rPr>
                <w:b/>
                <w:sz w:val="20"/>
              </w:rPr>
              <w:t xml:space="preserve">Claim</w:t>
            </w:r>
          </w:p>
        </w:tc>
        <w:tc>
          <w:tcPr>
            <w:tcW w:type="pct" w:w="1667"/>
          </w:tcPr>
          <w:p>
            <w:pPr>
              <w:pStyle w:val="Compact"/>
              <w:jc w:val="left"/>
            </w:pPr>
            <w:r>
              <w:rPr>
                <w:b/>
                <w:sz w:val="20"/>
              </w:rPr>
              <w:t xml:space="preserve">Observation against it</w:t>
            </w:r>
          </w:p>
        </w:tc>
        <w:tc>
          <w:tcPr>
            <w:tcW w:type="pct" w:w="1666"/>
          </w:tcPr>
          <w:p>
            <w:pPr>
              <w:pStyle w:val="Compact"/>
              <w:jc w:val="left"/>
            </w:pPr>
            <w:r>
              <w:rPr>
                <w:b/>
                <w:sz w:val="20"/>
              </w:rPr>
              <w:t xml:space="preserve">Decision rule and limit</w:t>
            </w:r>
          </w:p>
        </w:tc>
      </w:tr>
      <w:tr>
        <w:trPr>
          <w:cantSplit/>
        </w:trPr>
        <w:tc>
          <w:tcPr>
            <w:tcW w:type="pct" w:w="1667"/>
          </w:tcPr>
          <w:p>
            <w:pPr>
              <w:pStyle w:val="Compact"/>
              <w:jc w:val="left"/>
            </w:pPr>
            <w:r>
              <w:rPr>
                <w:sz w:val="20"/>
              </w:rPr>
              <w:t xml:space="preserve">Recurring process configuration</w:t>
            </w:r>
          </w:p>
        </w:tc>
        <w:tc>
          <w:tcPr>
            <w:tcW w:type="pct" w:w="1667"/>
          </w:tcPr>
          <w:p>
            <w:pPr>
              <w:pStyle w:val="Compact"/>
              <w:jc w:val="left"/>
            </w:pPr>
            <w:r>
              <w:rPr>
                <w:sz w:val="20"/>
              </w:rPr>
              <w:t xml:space="preserve">An in-scope episode in which the process indicators are mostly absent or contrary, or are present while the response and outcome rows show access enforced on Congress’s demand and durable sanctions</w:t>
            </w:r>
          </w:p>
        </w:tc>
        <w:tc>
          <w:tcPr>
            <w:tcW w:type="pct" w:w="1666"/>
          </w:tcPr>
          <w:p>
            <w:pPr>
              <w:pStyle w:val="Compact"/>
              <w:jc w:val="left"/>
            </w:pPr>
            <w:r>
              <w:rPr>
                <w:sz w:val="20"/>
              </w:rPr>
              <w:t xml:space="preserve">No cutoff is applied and no tally is used as a test. The Watergate tapes column of Table 7 is the one contrast coded: scored on the Senate committee’s demand, its early indicators are present; its committee sued after judging statutory and inherent contempt against the President unseemly, and lost; and its outcome came through a prosecutor’s criminal process. On this rule the contrast does not count against the description, because its response row shows the committee’s own remedy defeated and its accountability bracket is mixed; read to include access enforced for a prosecutor, it might.</w:t>
            </w:r>
          </w:p>
        </w:tc>
      </w:tr>
      <w:tr>
        <w:trPr>
          <w:cantSplit/>
        </w:trPr>
        <w:tc>
          <w:tcPr>
            <w:tcW w:type="pct" w:w="1667"/>
          </w:tcPr>
          <w:p>
            <w:pPr>
              <w:pStyle w:val="Compact"/>
              <w:jc w:val="left"/>
            </w:pPr>
            <w:r>
              <w:rPr>
                <w:sz w:val="20"/>
              </w:rPr>
              <w:t xml:space="preserve">Executive absorption of disclosure duties (historical cases and EFTA)</w:t>
            </w:r>
          </w:p>
        </w:tc>
        <w:tc>
          <w:tcPr>
            <w:tcW w:type="pct" w:w="1667"/>
          </w:tcPr>
          <w:p>
            <w:pPr>
              <w:pStyle w:val="Compact"/>
              <w:jc w:val="left"/>
            </w:pPr>
            <w:r>
              <w:rPr>
                <w:sz w:val="20"/>
              </w:rPr>
              <w:t xml:space="preserve">Court-ordered or congressionally induced access to identified disputed records, or a durable change to an identified withholding practice</w:t>
            </w:r>
          </w:p>
        </w:tc>
        <w:tc>
          <w:tcPr>
            <w:tcW w:type="pct" w:w="1666"/>
          </w:tcPr>
          <w:p>
            <w:pPr>
              <w:pStyle w:val="Compact"/>
              <w:jc w:val="left"/>
            </w:pPr>
            <w:r>
              <w:rPr>
                <w:sz w:val="20"/>
              </w:rPr>
              <w:t xml:space="preserve">Count concrete production or policy change, including concessions under a credible threat; do not require conviction or unilateral congressional control. Applied to the historical cases, Church’s publication over presidential objection, the 1991 notification statute, the USA FREEDOM Act, and the 2015 anti-torture statute count against absorption, and the 2005 statute counts in part, since only a temporary suspension of the interrogation techniques followed it.</w:t>
            </w:r>
          </w:p>
        </w:tc>
      </w:tr>
      <w:tr>
        <w:trPr>
          <w:cantSplit/>
        </w:trPr>
        <w:tc>
          <w:tcPr>
            <w:tcW w:type="pct" w:w="1667"/>
          </w:tcPr>
          <w:p>
            <w:pPr>
              <w:pStyle w:val="Compact"/>
              <w:jc w:val="left"/>
            </w:pPr>
            <w:r>
              <w:rPr>
                <w:sz w:val="20"/>
              </w:rPr>
              <w:t xml:space="preserve">EFTA timing</w:t>
            </w:r>
          </w:p>
        </w:tc>
        <w:tc>
          <w:tcPr>
            <w:tcW w:type="pct" w:w="1667"/>
          </w:tcPr>
          <w:p>
            <w:pPr>
              <w:pStyle w:val="Compact"/>
              <w:jc w:val="left"/>
            </w:pPr>
            <w:r>
              <w:rPr>
                <w:sz w:val="20"/>
              </w:rPr>
              <w:t xml:space="preserve">Full responsive production, subject to lawful exclusions, by December 19, 2025</w:t>
            </w:r>
          </w:p>
        </w:tc>
        <w:tc>
          <w:tcPr>
            <w:tcW w:type="pct" w:w="1666"/>
          </w:tcPr>
          <w:p>
            <w:pPr>
              <w:pStyle w:val="Compact"/>
              <w:jc w:val="left"/>
            </w:pPr>
            <w:r>
              <w:rPr>
                <w:sz w:val="20"/>
              </w:rPr>
              <w:t xml:space="preserve">The deadline was missed; this tests timing, not motive or the legality of every exclusion.</w:t>
            </w:r>
          </w:p>
        </w:tc>
      </w:tr>
      <w:tr>
        <w:trPr>
          <w:cantSplit/>
        </w:trPr>
        <w:tc>
          <w:tcPr>
            <w:tcW w:type="pct" w:w="1667"/>
          </w:tcPr>
          <w:p>
            <w:pPr>
              <w:pStyle w:val="Compact"/>
              <w:jc w:val="left"/>
            </w:pPr>
            <w:r>
              <w:rPr>
                <w:sz w:val="20"/>
              </w:rPr>
              <w:t xml:space="preserve">EFTA justification</w:t>
            </w:r>
          </w:p>
        </w:tc>
        <w:tc>
          <w:tcPr>
            <w:tcW w:type="pct" w:w="1667"/>
          </w:tcPr>
          <w:p>
            <w:pPr>
              <w:pStyle w:val="Compact"/>
              <w:jc w:val="left"/>
            </w:pPr>
            <w:r>
              <w:rPr>
                <w:sz w:val="20"/>
              </w:rPr>
              <w:t xml:space="preserve">An adequate, reviewable accounting of disputed redactions under the governing legal construction</w:t>
            </w:r>
          </w:p>
        </w:tc>
        <w:tc>
          <w:tcPr>
            <w:tcW w:type="pct" w:w="1666"/>
          </w:tcPr>
          <w:p>
            <w:pPr>
              <w:pStyle w:val="Compact"/>
              <w:jc w:val="left"/>
            </w:pPr>
            <w:r>
              <w:rPr>
                <w:sz w:val="20"/>
              </w:rPr>
              <w:t xml:space="preserve">Marker frequency and counts of old guidance are not legal compliance tests. The court has not decided the notice’s substantive adequacy.</w:t>
            </w:r>
          </w:p>
        </w:tc>
      </w:tr>
      <w:tr>
        <w:trPr>
          <w:cantSplit/>
        </w:trPr>
        <w:tc>
          <w:tcPr>
            <w:tcW w:type="pct" w:w="1667"/>
          </w:tcPr>
          <w:p>
            <w:pPr>
              <w:pStyle w:val="Compact"/>
              <w:jc w:val="left"/>
            </w:pPr>
            <w:r>
              <w:rPr>
                <w:sz w:val="20"/>
              </w:rPr>
              <w:t xml:space="preserve">Partisan versus structural explanations</w:t>
            </w:r>
          </w:p>
        </w:tc>
        <w:tc>
          <w:tcPr>
            <w:tcW w:type="pct" w:w="1667"/>
          </w:tcPr>
          <w:p>
            <w:pPr>
              <w:pStyle w:val="Compact"/>
              <w:jc w:val="left"/>
            </w:pPr>
            <w:r>
              <w:rPr>
                <w:sz w:val="20"/>
              </w:rPr>
              <w:t xml:space="preserve">Changes in escalation and access after an actual change of party control</w:t>
            </w:r>
          </w:p>
        </w:tc>
        <w:tc>
          <w:tcPr>
            <w:tcW w:type="pct" w:w="1666"/>
          </w:tcPr>
          <w:p>
            <w:pPr>
              <w:pStyle w:val="Compact"/>
              <w:jc w:val="left"/>
            </w:pPr>
            <w:r>
              <w:rPr>
                <w:sz w:val="20"/>
              </w:rPr>
              <w:t xml:space="preserve">Observe both willingness to invoke a remedy and the remedy’s efficacy. No election outcome is assumed.</w:t>
            </w:r>
          </w:p>
        </w:tc>
      </w:tr>
      <w:tr>
        <w:trPr>
          <w:cantSplit/>
        </w:trPr>
        <w:tc>
          <w:tcPr>
            <w:tcW w:type="pct" w:w="1667"/>
          </w:tcPr>
          <w:p>
            <w:pPr>
              <w:pStyle w:val="Compact"/>
              <w:jc w:val="left"/>
            </w:pPr>
            <w:r>
              <w:rPr>
                <w:sz w:val="20"/>
              </w:rPr>
              <w:t xml:space="preserve">External-disclosure bracket</w:t>
            </w:r>
          </w:p>
        </w:tc>
        <w:tc>
          <w:tcPr>
            <w:tcW w:type="pct" w:w="1667"/>
          </w:tcPr>
          <w:p>
            <w:pPr>
              <w:pStyle w:val="Compact"/>
              <w:jc w:val="left"/>
            </w:pPr>
            <w:r>
              <w:rPr>
                <w:sz w:val="20"/>
              </w:rPr>
              <w:t xml:space="preserve">Congress discovers concealed abuse before an external disclosure</w:t>
            </w:r>
          </w:p>
        </w:tc>
        <w:tc>
          <w:tcPr>
            <w:tcW w:type="pct" w:w="1666"/>
          </w:tcPr>
          <w:p>
            <w:pPr>
              <w:pStyle w:val="Compact"/>
              <w:jc w:val="left"/>
            </w:pPr>
            <w:r>
              <w:rPr>
                <w:sz w:val="20"/>
              </w:rPr>
              <w:t xml:space="preserve">A congressional discovery counts against the claim even if subsequent publication is negotiated.</w:t>
            </w:r>
          </w:p>
        </w:tc>
      </w:tr>
      <w:tr>
        <w:trPr>
          <w:cantSplit/>
        </w:trPr>
        <w:tc>
          <w:tcPr>
            <w:tcW w:type="pct" w:w="1667"/>
          </w:tcPr>
          <w:p>
            <w:pPr>
              <w:pStyle w:val="Compact"/>
              <w:jc w:val="left"/>
            </w:pPr>
            <w:r>
              <w:rPr>
                <w:sz w:val="20"/>
              </w:rPr>
              <w:t xml:space="preserve">Individual-accountability bracket</w:t>
            </w:r>
          </w:p>
        </w:tc>
        <w:tc>
          <w:tcPr>
            <w:tcW w:type="pct" w:w="1667"/>
          </w:tcPr>
          <w:p>
            <w:pPr>
              <w:pStyle w:val="Compact"/>
              <w:jc w:val="left"/>
            </w:pPr>
            <w:r>
              <w:rPr>
                <w:sz w:val="20"/>
              </w:rPr>
              <w:t xml:space="preserve">Durable penalties for identified official misconduct attributable to oversight</w:t>
            </w:r>
          </w:p>
        </w:tc>
        <w:tc>
          <w:tcPr>
            <w:tcW w:type="pct" w:w="1666"/>
          </w:tcPr>
          <w:p>
            <w:pPr>
              <w:pStyle w:val="Compact"/>
              <w:jc w:val="left"/>
            </w:pPr>
            <w:r>
              <w:rPr>
                <w:sz w:val="20"/>
              </w:rPr>
              <w:t xml:space="preserve">Count surviving sanctions separately from access, policy change, and institution building.</w:t>
            </w:r>
          </w:p>
        </w:tc>
      </w:tr>
    </w:tbl>
    <w:p>
      <w:pPr>
        <w:pStyle w:val="BodyText"/>
      </w:pPr>
      <w:r>
        <w:t xml:space="preserve">These rules were written in September 2026, after the observations discussed here; they are not a preregistration. Preliminary judicial compulsion in</w:t>
      </w:r>
      <w:r>
        <w:t xml:space="preserve"> </w:t>
      </w:r>
      <w:r>
        <w:rPr>
          <w:iCs/>
          <w:i/>
        </w:rPr>
        <w:t xml:space="preserve">Phang</w:t>
      </w:r>
      <w:r>
        <w:t xml:space="preserve"> </w:t>
      </w:r>
      <w:r>
        <w:t xml:space="preserve">already qualifies any claim that enforcement outside DOJ prosecution is unavailable.</w:t>
      </w:r>
      <w:r>
        <w:rPr>
          <w:rStyle w:val="FootnoteReference"/>
        </w:rPr>
        <w:footnoteReference w:id="58"/>
      </w:r>
    </w:p>
    <w:p>
      <w:r>
        <w:pict>
          <v:rect style="width:0;height:1.5pt" o:hralign="center" o:hrstd="t" o:hr="t"/>
        </w:pict>
      </w:r>
    </w:p>
    <w:bookmarkEnd w:id="59"/>
    <w:bookmarkEnd w:id="60"/>
    <w:bookmarkStart w:id="66" w:name="methodology"/>
    <w:p>
      <w:pPr>
        <w:pStyle w:val="Heading2"/>
      </w:pPr>
      <w:r>
        <w:t xml:space="preserve">Methodology</w:t>
      </w:r>
    </w:p>
    <w:p>
      <w:pPr>
        <w:pStyle w:val="FirstParagraph"/>
      </w:pPr>
      <w:r>
        <w:t xml:space="preserve">The design pairs an exploratory historical comparison with contemporary process tracing.</w:t>
      </w:r>
      <w:r>
        <w:rPr>
          <w:rStyle w:val="FootnoteReference"/>
        </w:rPr>
        <w:footnoteReference w:id="61"/>
      </w:r>
      <w:r>
        <w:rPr>
          <w:vertAlign w:val="superscript"/>
        </w:rPr>
        <w:t xml:space="preserve">,</w:t>
      </w:r>
      <w:r>
        <w:rPr>
          <w:rStyle w:val="FootnoteReference"/>
        </w:rPr>
        <w:footnoteReference w:id="62"/>
      </w:r>
      <w:r>
        <w:t xml:space="preserve"> </w:t>
      </w:r>
      <w:r>
        <w:t xml:space="preserve">The four historical episodes were selected for temporal coverage, differing demand postures, and primary-source availability, not sampled from a defined population; the Watergate tapes dispute was added as a contrast because it is widely regarded as oversight that worked. It, and EFTA for its released record, relax the access restrictions that distinguish constrained from ordinary accommodation (Table 2), so the vocabulary should apply to them least; Watergate’s process rows did not bear that out (Table 7). Because the concepts were developed using these cases, the recurring pattern is descriptive. It does not establish that executive control caused any outcome or that the vocabulary outperforms an institutional rival.</w:t>
      </w:r>
      <w:r>
        <w:rPr>
          <w:rStyle w:val="FootnoteReference"/>
        </w:rPr>
        <w:footnoteReference w:id="63"/>
      </w:r>
      <w:r>
        <w:t xml:space="preserve"> </w:t>
      </w:r>
      <w:r>
        <w:t xml:space="preserve">One author developed the indicators, chose the cases, and coded them; Appendix B gives the codebook, and no second coder has scored them.</w:t>
      </w:r>
    </w:p>
    <w:p>
      <w:pPr>
        <w:pStyle w:val="BodyText"/>
      </w:pPr>
      <w:r>
        <w:t xml:space="preserve">Within each episode, the analysis asks who possessed the records, who requested access, what was offered or withheld, what remedy was attempted, and what changed. A defeated enforcement motion is evidence about political willingness; a failed suit is evidence about the remedy invoked and the court’s reasons. Successful negotiated concessions count as outcomes. Access, policy change, durable institutions, and individual sanctions are recorded separately, so a gain on one dimension does not disappear because another remained limited.</w:t>
      </w:r>
    </w:p>
    <w:p>
      <w:pPr>
        <w:pStyle w:val="BodyText"/>
      </w:pPr>
      <w:r>
        <w:t xml:space="preserve">EFTA extends the comparison to a mostly unclassified disclosure mandate. Enactment by a 427–1 House vote and Senate unanimous consent, enumerated withholding grounds, and an observable production make the case useful, but do not make noncompliance uniquely diagnostic of bargaining.</w:t>
      </w:r>
      <w:r>
        <w:rPr>
          <w:rStyle w:val="FootnoteReference"/>
        </w:rPr>
        <w:footnoteReference w:id="64"/>
      </w:r>
      <w:r>
        <w:t xml:space="preserve"> </w:t>
      </w:r>
      <w:r>
        <w:t xml:space="preserve">Unified party control, agreement or deference among pivotal members, ordinary administrative burden, legitimate privacy protection, contested statutory interpretation, and case-specific incentives can predict parts of the same sequence. The analysis compares those explanations against dated documents and procedural events; it does not assign a probability to the structural hypothesis or treat an inherited framework marker as proof of an unlawful redaction.</w:t>
      </w:r>
    </w:p>
    <w:p>
      <w:pPr>
        <w:pStyle w:val="BodyText"/>
      </w:pPr>
      <w:r>
        <w:t xml:space="preserve">Process tracing distinguishes what each source establishes from what would connect it to a mechanism.</w:t>
      </w:r>
      <w:r>
        <w:rPr>
          <w:rStyle w:val="FootnoteReference"/>
        </w:rPr>
        <w:footnoteReference w:id="65"/>
      </w:r>
      <w:r>
        <w:t xml:space="preserve"> </w:t>
      </w:r>
      <w:r>
        <w:t xml:space="preserve">The March 21, 2025 training establishes an earlier instruction, not its continued use after enactment, and DOJ’s privilege construction is documented while its legality is disputed, not measured by a text classifier. The source-to-inference table in the EFTA discussion presents such alternatives directly.</w:t>
      </w:r>
    </w:p>
    <w:p>
      <w:pPr>
        <w:pStyle w:val="BodyText"/>
      </w:pPr>
      <w:r>
        <w:t xml:space="preserve">Corpus figures are frozen at August 30, 2026. Litigation is updated separately through the September 16 orders. No September corpus rerun is claimed. Detector performance is measured on its tuning set, with uncertainty and transport limits in Appendix A. The corpus figures rest on unpublished local analysis files, available on request, and are not publicly reproducible; historical findings and publicly filed orders can be examined independently.</w:t>
      </w:r>
    </w:p>
    <w:p>
      <w:pPr>
        <w:pStyle w:val="BodyText"/>
      </w:pPr>
      <w:r>
        <w:t xml:space="preserve">The limits are substantial: selection favors visible controversies; withheld content remains unknown; retrospective indicators risk fitting the chosen cases; one author coded them; partly shared sources reduce independence; and EFTA implementation differs from national-security policymaking. The source base is uneven. The NSA case rests mainly on two senators’ letters, an inspector-general draft, and a later oversight-board report, and the CIA case on the Senate committee’s own summary, one party’s account of a two-party dispute. The paper does not identify the causal contribution of oversight failures to trust decline.</w:t>
      </w:r>
    </w:p>
    <w:p>
      <w:r>
        <w:pict>
          <v:rect style="width:0;height:1.5pt" o:hralign="center" o:hrstd="t" o:hr="t"/>
        </w:pict>
      </w:r>
    </w:p>
    <w:bookmarkEnd w:id="66"/>
    <w:bookmarkStart w:id="102" w:name="historical-cases"/>
    <w:p>
      <w:pPr>
        <w:pStyle w:val="Heading2"/>
      </w:pPr>
      <w:r>
        <w:t xml:space="preserve">Historical Cases</w:t>
      </w:r>
    </w:p>
    <w:p>
      <w:pPr>
        <w:pStyle w:val="FirstParagraph"/>
      </w:pPr>
      <w:r>
        <w:t xml:space="preserve">The four cases illustrate different forms of bargaining. Case 1 (Pike and Church, 1975–76) is one disclosure dispute in two chambers: both committees bargained and both defied the executive, and the outcomes diverged where the parent chambers did. Case 2 (Iran-Contra, 1986–91) shows investigation after exposure, with records withheld or destroyed and a four-year statutory fight. Case 3 (NSA bulk collection, 2001–15) shows constraint built into the program’s access rules, followed by statutory change. Case 4 (the CIA interrogation program, 2002–14) combines executive counter-pressure and continued secrecy with substantial investigation and anti-torture restrictions.</w:t>
      </w:r>
    </w:p>
    <w:bookmarkStart w:id="76" w:name="Xb35b1f2c417ea97d269fa284228257632adc2c1"/>
    <w:p>
      <w:pPr>
        <w:pStyle w:val="Heading3"/>
      </w:pPr>
      <w:r>
        <w:t xml:space="preserve">Case 1 — Pike and Church: One Disclosure Dispute in Two Chambers (1975–1976)</w:t>
      </w:r>
    </w:p>
    <w:p>
      <w:pPr>
        <w:pStyle w:val="FirstParagraph"/>
      </w:pPr>
      <w:r>
        <w:rPr>
          <w:bCs/>
          <w:b/>
        </w:rPr>
        <w:t xml:space="preserve">Phase 1: The scandal.</w:t>
      </w:r>
      <w:r>
        <w:t xml:space="preserve"> </w:t>
      </w:r>
      <w:r>
        <w:t xml:space="preserve">Both committees were established in early 1975 (the Senate on January 27, the House on February 19) after a disclosure from outside the oversight channel: Seymour Hersh’s December 1974</w:t>
      </w:r>
      <w:r>
        <w:t xml:space="preserve"> </w:t>
      </w:r>
      <w:r>
        <w:rPr>
          <w:iCs/>
          <w:i/>
        </w:rPr>
        <w:t xml:space="preserve">New York Times</w:t>
      </w:r>
      <w:r>
        <w:t xml:space="preserve"> </w:t>
      </w:r>
      <w:r>
        <w:t xml:space="preserve">report on CIA domestic surveillance, which covered many of the subjects in the CIA’s internal</w:t>
      </w:r>
      <w:r>
        <w:t xml:space="preserve"> </w:t>
      </w:r>
      <w:r>
        <w:t xml:space="preserve">“</w:t>
      </w:r>
      <w:r>
        <w:t xml:space="preserve">Family Jewels</w:t>
      </w:r>
      <w:r>
        <w:t xml:space="preserve">”</w:t>
      </w:r>
      <w:r>
        <w:t xml:space="preserve"> </w:t>
      </w:r>
      <w:r>
        <w:t xml:space="preserve">compilation and first revealed its existence.</w:t>
      </w:r>
      <w:r>
        <w:rPr>
          <w:rStyle w:val="FootnoteReference"/>
        </w:rPr>
        <w:footnoteReference w:id="67"/>
      </w:r>
    </w:p>
    <w:p>
      <w:pPr>
        <w:pStyle w:val="BodyText"/>
      </w:pPr>
      <w:r>
        <w:rPr>
          <w:bCs/>
          <w:b/>
        </w:rPr>
        <w:t xml:space="preserve">Phase 2: The congressional request.</w:t>
      </w:r>
      <w:r>
        <w:t xml:space="preserve"> </w:t>
      </w:r>
      <w:r>
        <w:t xml:space="preserve">The two committees ran simultaneously against the same executive counterparty with equivalent formal powers, but under different resolutions, rules, leadership, disclosure procedures, and contempt paths. Church relied mainly on negotiated access and Pike mainly on subpoenas, though each committee used both.</w:t>
      </w:r>
      <w:r>
        <w:rPr>
          <w:vertAlign w:val="superscript"/>
        </w:rPr>
        <w:t xml:space="preserve">see n. 41</w:t>
      </w:r>
      <w:r>
        <w:rPr>
          <w:vertAlign w:val="superscript"/>
        </w:rPr>
        <w:t xml:space="preserve">,</w:t>
      </w:r>
      <w:r>
        <w:rPr>
          <w:rStyle w:val="FootnoteReference"/>
        </w:rPr>
        <w:footnoteReference w:id="68"/>
      </w:r>
      <w:r>
        <w:rPr>
          <w:vertAlign w:val="superscript"/>
        </w:rPr>
        <w:t xml:space="preserve">,</w:t>
      </w:r>
      <w:r>
        <w:rPr>
          <w:rStyle w:val="FootnoteReference"/>
        </w:rPr>
        <w:footnoteReference w:id="69"/>
      </w:r>
    </w:p>
    <w:p>
      <w:pPr>
        <w:pStyle w:val="BodyText"/>
      </w:pPr>
      <w:r>
        <w:rPr>
          <w:bCs/>
          <w:b/>
        </w:rPr>
        <w:t xml:space="preserve">Phase 3: The executive offer.</w:t>
      </w:r>
      <w:r>
        <w:t xml:space="preserve"> </w:t>
      </w:r>
      <w:r>
        <w:t xml:space="preserve">To Church the executive offered negotiated, incremental disclosure, answered the committee’s first inquiries about a telegram-interception program only after four months, and pre-empted the proposed statutory charter with Ford’s Executive Order 11905 of February 18, 1976, issued 68 days before the April 26, 1976 date on Church’s Book I (executive self-definition).</w:t>
      </w:r>
      <w:r>
        <w:rPr>
          <w:vertAlign w:val="superscript"/>
        </w:rPr>
        <w:t xml:space="preserve">see n. 43</w:t>
      </w:r>
      <w:r>
        <w:t xml:space="preserve"> </w:t>
      </w:r>
      <w:r>
        <w:t xml:space="preserve">To Pike the executive responded with a September 1975 embargo on classified material, loans of documents on condition that the President arbitrate any release, an executive-privilege claim against one of the subpoenas behind the Kissinger contempt resolutions, and a White House briefing in December in place of delivery (delayed and conditional disclosure).</w:t>
      </w:r>
      <w:r>
        <w:rPr>
          <w:rStyle w:val="FootnoteReference"/>
        </w:rPr>
        <w:footnoteReference w:id="70"/>
      </w:r>
      <w:r>
        <w:rPr>
          <w:vertAlign w:val="superscript"/>
        </w:rPr>
        <w:t xml:space="preserve">,</w:t>
      </w:r>
      <w:r>
        <w:rPr>
          <w:rStyle w:val="FootnoteReference"/>
        </w:rPr>
        <w:footnoteReference w:id="71"/>
      </w:r>
    </w:p>
    <w:p>
      <w:pPr>
        <w:pStyle w:val="BodyText"/>
      </w:pPr>
      <w:r>
        <w:rPr>
          <w:bCs/>
          <w:b/>
        </w:rPr>
        <w:t xml:space="preserve">Phase 4: The congressional response.</w:t>
      </w:r>
      <w:r>
        <w:t xml:space="preserve"> </w:t>
      </w:r>
      <w:r>
        <w:t xml:space="preserve">Both committees bargained and both defied; the outcomes diverged where the parent chambers did. Church negotiated access but did not defer on publication. It disclosed the SHAMROCK interception program on November 6, 1975 after a 7–3 committee vote and over President Ford’s personal request for secrecy, and it published its assassination report over the administration’s objection after a closed Senate session recorded no disapproval.</w:t>
      </w:r>
      <w:r>
        <w:rPr>
          <w:rStyle w:val="FootnoteReference"/>
        </w:rPr>
        <w:footnoteReference w:id="72"/>
      </w:r>
      <w:r>
        <w:t xml:space="preserve"> </w:t>
      </w:r>
      <w:r>
        <w:t xml:space="preserve">Its legacy followed: the Senate Select Committee on Intelligence (SSCI, May 1976), the House Permanent Select Committee on Intelligence (HPSCI, July 1977), FISA (October 1978), and the Intelligence Oversight Act of 1980; the proposed statutory charter never passed.</w:t>
      </w:r>
      <w:r>
        <w:rPr>
          <w:rStyle w:val="FootnoteReference"/>
        </w:rPr>
        <w:footnoteReference w:id="73"/>
      </w:r>
      <w:r>
        <w:t xml:space="preserve"> </w:t>
      </w:r>
      <w:r>
        <w:t xml:space="preserve">Pike bargained and then contested the bargain’s scope. After Ford suspended its access to classified material in September 1975, the committee voted 10–3 on October 1 to accept documents on condition that disputed releases go to the President for written certification, and in December it declared substantial compliance on its contempt subpoenas after a White House briefing.</w:t>
      </w:r>
      <w:r>
        <w:rPr>
          <w:vertAlign w:val="superscript"/>
        </w:rPr>
        <w:t xml:space="preserve">see n. 45</w:t>
      </w:r>
      <w:r>
        <w:t xml:space="preserve"> </w:t>
      </w:r>
      <w:r>
        <w:t xml:space="preserve">When it moved to release its final report without that review, the House enforced the certification term against its own committee: on January 29, 1976 it voted 246–124, with 127 Democrats joining 119 Republicans, to bar release of classified report material absent presidential certification.</w:t>
      </w:r>
      <w:r>
        <w:rPr>
          <w:vertAlign w:val="superscript"/>
        </w:rPr>
        <w:t xml:space="preserve">see n. 42</w:t>
      </w:r>
      <w:r>
        <w:t xml:space="preserve"> </w:t>
      </w:r>
      <w:r>
        <w:t xml:space="preserve">That was the decision of a cross-party House majority; whether executive classification claims moved those votes is not shown by this record. The findings reached the public through Daniel Schorr’s leak to the</w:t>
      </w:r>
      <w:r>
        <w:t xml:space="preserve"> </w:t>
      </w:r>
      <w:r>
        <w:rPr>
          <w:iCs/>
          <w:i/>
        </w:rPr>
        <w:t xml:space="preserve">Village Voice</w:t>
      </w:r>
      <w:r>
        <w:t xml:space="preserve">.</w:t>
      </w:r>
      <w:r>
        <w:rPr>
          <w:rStyle w:val="FootnoteReference"/>
        </w:rPr>
        <w:footnoteReference w:id="74"/>
      </w:r>
    </w:p>
    <w:p>
      <w:pPr>
        <w:pStyle w:val="BodyText"/>
      </w:pPr>
      <w:r>
        <w:rPr>
          <w:bCs/>
          <w:b/>
        </w:rPr>
        <w:t xml:space="preserve">Phase 5: Individual accountability.</w:t>
      </w:r>
      <w:r>
        <w:t xml:space="preserve"> </w:t>
      </w:r>
      <w:r>
        <w:t xml:space="preserve">Accountability was limited and partly reversed. Former Director of Central Intelligence Richard Helms pleaded nolo contendere in 1977 to two misdemeanors of not testifying fully to the Senate about CIA covert action in Chile; the plea, suspended sentence, and fine stood. Federal Bureau of Investigation (FBI) officials W. Mark Felt and Edward S. Miller, convicted in 1980 for the 1972–1973 warrantless break-ins, were pardoned by President Reagan while their appeal was pending, as he announced on April 15, 1981.</w:t>
      </w:r>
      <w:r>
        <w:rPr>
          <w:rStyle w:val="FootnoteReference"/>
        </w:rPr>
        <w:footnoteReference w:id="75"/>
      </w:r>
    </w:p>
    <w:bookmarkEnd w:id="76"/>
    <w:bookmarkStart w:id="86" w:name="X3c83a4ad6f41ccb82639c14a3086c8cc6da440b"/>
    <w:p>
      <w:pPr>
        <w:pStyle w:val="Heading3"/>
      </w:pPr>
      <w:r>
        <w:t xml:space="preserve">Case 2 — Iran-Contra: Investigation after Exposure (1986–1991)</w:t>
      </w:r>
    </w:p>
    <w:p>
      <w:pPr>
        <w:pStyle w:val="FirstParagraph"/>
      </w:pPr>
      <w:r>
        <w:rPr>
          <w:bCs/>
          <w:b/>
        </w:rPr>
        <w:t xml:space="preserve">Phase 1: The scandal.</w:t>
      </w:r>
      <w:r>
        <w:t xml:space="preserve"> </w:t>
      </w:r>
      <w:r>
        <w:t xml:space="preserve">The operation broke into public view through two external disclosures a month apart. On October 5, 1986 a cargo plane carrying military supplies to the Contras was shot down over Nicaragua, and its captured survivor, Eugene Hasenfus, said the flight was a CIA-assisted resupply operation.</w:t>
      </w:r>
      <w:r>
        <w:rPr>
          <w:rStyle w:val="FootnoteReference"/>
        </w:rPr>
        <w:footnoteReference w:id="77"/>
      </w:r>
      <w:r>
        <w:t xml:space="preserve"> </w:t>
      </w:r>
      <w:r>
        <w:t xml:space="preserve">On November 3, 1986 the Lebanese magazine</w:t>
      </w:r>
      <w:r>
        <w:t xml:space="preserve"> </w:t>
      </w:r>
      <w:r>
        <w:rPr>
          <w:iCs/>
          <w:i/>
        </w:rPr>
        <w:t xml:space="preserve">Ash-Shiraa</w:t>
      </w:r>
      <w:r>
        <w:t xml:space="preserve"> </w:t>
      </w:r>
      <w:r>
        <w:t xml:space="preserve">reported the secret U.S. arms sales to Iran, and Attorney General Meese’s November 25 press conference linked the two.</w:t>
      </w:r>
      <w:r>
        <w:rPr>
          <w:rStyle w:val="FootnoteReference"/>
        </w:rPr>
        <w:footnoteReference w:id="78"/>
      </w:r>
    </w:p>
    <w:p>
      <w:pPr>
        <w:pStyle w:val="BodyText"/>
      </w:pPr>
      <w:r>
        <w:rPr>
          <w:bCs/>
          <w:b/>
        </w:rPr>
        <w:t xml:space="preserve">Phase 2: The congressional request.</w:t>
      </w:r>
      <w:r>
        <w:t xml:space="preserve"> </w:t>
      </w:r>
      <w:r>
        <w:t xml:space="preserve">Senate and House select committees, established on January 6 and 7, 1987, held joint hearings and issued a joint report, alongside Walsh’s Office of Independent Counsel. The conduct at issue was evasion of statutory appropriations restrictions: the December 1982 Boland limitation barred CIA and Defense support for overthrowing Nicaragua’s government, the October 12, 1984 rider cut off funds for fiscal 1985, and National Security Council staff under National Security Advisers Robert McFarlane and John Poindexter, with Lt. Col. Oliver North, channeled covert support through the</w:t>
      </w:r>
      <w:r>
        <w:t xml:space="preserve"> </w:t>
      </w:r>
      <w:r>
        <w:t xml:space="preserve">“</w:t>
      </w:r>
      <w:r>
        <w:t xml:space="preserve">Enterprise,</w:t>
      </w:r>
      <w:r>
        <w:t xml:space="preserve">”</w:t>
      </w:r>
      <w:r>
        <w:t xml:space="preserve"> </w:t>
      </w:r>
      <w:r>
        <w:t xml:space="preserve">on a reading of the rider the Administration disputed and the committees’ majority rejected.</w:t>
      </w:r>
      <w:r>
        <w:rPr>
          <w:vertAlign w:val="superscript"/>
        </w:rPr>
        <w:t xml:space="preserve">see n. 51</w:t>
      </w:r>
      <w:r>
        <w:t xml:space="preserve"> </w:t>
      </w:r>
      <w:r>
        <w:t xml:space="preserve">The committees obtained North’s and Poindexter’s testimony by immunity orders whose timing they negotiated with the Independent Counsel.</w:t>
      </w:r>
    </w:p>
    <w:p>
      <w:pPr>
        <w:pStyle w:val="BodyText"/>
      </w:pPr>
      <w:r>
        <w:rPr>
          <w:bCs/>
          <w:b/>
        </w:rPr>
        <w:t xml:space="preserve">Phase 3: The executive offer.</w:t>
      </w:r>
      <w:r>
        <w:t xml:space="preserve"> </w:t>
      </w:r>
      <w:r>
        <w:t xml:space="preserve">The offer enlarged only as pressure mounted, from initial denials to the President’s review board (the Tower Commission, reporting February 26, 1987). Meanwhile contemporaneous records were destroyed or withheld. Poindexter, North, and others shredded documents from November 21, 1986, as the Attorney General’s inquiry began; the notes of Weinberger and Regan, and those dictated by Shultz, reached the Independent Counsel only in 1991 and 1992, after the committees reported; and in December 1992 he learned that Bush had failed to produce a diary with contemporaneous notes (selective disclosure and delayed compliance; the 1992 events are sequels).</w:t>
      </w:r>
      <w:r>
        <w:rPr>
          <w:rStyle w:val="FootnoteReference"/>
        </w:rPr>
        <w:footnoteReference w:id="79"/>
      </w:r>
      <w:r>
        <w:t xml:space="preserve"> </w:t>
      </w:r>
      <w:r>
        <w:t xml:space="preserve">The immunized testimony was Congress’s act, not an executive offer: on the committees’ application the district court issued immunity orders, and North and Poindexter testified publicly on July 7–14 and July 15–21, 1987, which bounded what any prosecution could use.</w:t>
      </w:r>
      <w:r>
        <w:rPr>
          <w:rStyle w:val="FootnoteReference"/>
        </w:rPr>
        <w:footnoteReference w:id="80"/>
      </w:r>
      <w:r>
        <w:t xml:space="preserve"> </w:t>
      </w:r>
      <w:r>
        <w:t xml:space="preserve">The executive also advanced a doctrine of presidential discretion over when to notify Congress of covert action, in the 1986 Cooper opinion, National Security Decision Directive 286 (NSDD-286), which also barred retroactive findings, and President Bush’s 1989 letter to Senator Boren, and the committees’ minority report endorsed it (justification proliferation and executive self-definition).</w:t>
      </w:r>
      <w:r>
        <w:rPr>
          <w:rStyle w:val="FootnoteReference"/>
        </w:rPr>
        <w:footnoteReference w:id="81"/>
      </w:r>
      <w:r>
        <w:rPr>
          <w:vertAlign w:val="superscript"/>
        </w:rPr>
        <w:t xml:space="preserve">,</w:t>
      </w:r>
      <w:r>
        <w:rPr>
          <w:rStyle w:val="FootnoteReference"/>
        </w:rPr>
        <w:footnoteReference w:id="82"/>
      </w:r>
    </w:p>
    <w:p>
      <w:pPr>
        <w:pStyle w:val="BodyText"/>
      </w:pPr>
      <w:r>
        <w:rPr>
          <w:bCs/>
          <w:b/>
        </w:rPr>
        <w:t xml:space="preserve">Phase 4: The congressional response.</w:t>
      </w:r>
      <w:r>
        <w:t xml:space="preserve"> </w:t>
      </w:r>
      <w:r>
        <w:t xml:space="preserve">The select committees exposed the misconduct, and Congress then pressed for notice of covert-action findings within 48 hours, written findings, and a ban on retroactive findings. The administrations would compromise on the last two but not on the deadline, and the impasse lasted almost four years, through one vetoed bill, until the 1991 compromise: written, non-retroactive findings and a statutory definition of covert action were enacted,</w:t>
      </w:r>
      <w:r>
        <w:t xml:space="preserve"> </w:t>
      </w:r>
      <w:r>
        <w:t xml:space="preserve">“</w:t>
      </w:r>
      <w:r>
        <w:t xml:space="preserve">timely</w:t>
      </w:r>
      <w:r>
        <w:t xml:space="preserve">”</w:t>
      </w:r>
      <w:r>
        <w:t xml:space="preserve"> </w:t>
      </w:r>
      <w:r>
        <w:t xml:space="preserve">notice stayed in the statute, and the President’s commitment to notify within a few days was recorded beside his reservation of constitutional authority to withhold longer.</w:t>
      </w:r>
      <w:r>
        <w:rPr>
          <w:rStyle w:val="FootnoteReference"/>
        </w:rPr>
        <w:footnoteReference w:id="83"/>
      </w:r>
      <w:r>
        <w:t xml:space="preserve"> </w:t>
      </w:r>
      <w:r>
        <w:t xml:space="preserve">The discretion claim survived; the statutory floor moved. Separately, the immunity orders led the D.C. Circuit to set aside the North and Poindexter convictions under</w:t>
      </w:r>
      <w:r>
        <w:t xml:space="preserve"> </w:t>
      </w:r>
      <w:r>
        <w:rPr>
          <w:iCs/>
          <w:i/>
        </w:rPr>
        <w:t xml:space="preserve">Kastigar</w:t>
      </w:r>
      <w:r>
        <w:t xml:space="preserve">.</w:t>
      </w:r>
    </w:p>
    <w:p>
      <w:pPr>
        <w:pStyle w:val="BodyText"/>
      </w:pPr>
      <w:r>
        <w:rPr>
          <w:bCs/>
          <w:b/>
        </w:rPr>
        <w:t xml:space="preserve">Phase 5: Individual accountability.</w:t>
      </w:r>
      <w:r>
        <w:t xml:space="preserve"> </w:t>
      </w:r>
      <w:r>
        <w:t xml:space="preserve">Fourteen persons were charged and eleven convicted, by an Independent Counsel appointed by a court at the Attorney General’s request; accountability was partial and some consequences were undone. The convictions of North and Poindexter were set aside on use-immunity grounds (North’s vacated and remanded for a</w:t>
      </w:r>
      <w:r>
        <w:t xml:space="preserve"> </w:t>
      </w:r>
      <w:r>
        <w:rPr>
          <w:iCs/>
          <w:i/>
        </w:rPr>
        <w:t xml:space="preserve">Kastigar</w:t>
      </w:r>
      <w:r>
        <w:t xml:space="preserve"> </w:t>
      </w:r>
      <w:r>
        <w:t xml:space="preserve">hearing, charges later dropped; Poindexter’s reversed, in part also because the obstruction statute could not constitutionally reach some of the charged lying to Congress).</w:t>
      </w:r>
      <w:r>
        <w:rPr>
          <w:rStyle w:val="FootnoteReference"/>
        </w:rPr>
        <w:footnoteReference w:id="84"/>
      </w:r>
      <w:r>
        <w:t xml:space="preserve"> </w:t>
      </w:r>
      <w:r>
        <w:t xml:space="preserve">On December 24, 1992 President Bush pardoned six defendants, including Caspar Weinberger, who had been indicted on June 16, 1992 and was awaiting trial.</w:t>
      </w:r>
      <w:r>
        <w:rPr>
          <w:rStyle w:val="FootnoteReference"/>
        </w:rPr>
        <w:footnoteReference w:id="85"/>
      </w:r>
    </w:p>
    <w:bookmarkEnd w:id="86"/>
    <w:bookmarkStart w:id="94" w:name="X125d9d367b6df46661d417979c2f5780a3071e4"/>
    <w:p>
      <w:pPr>
        <w:pStyle w:val="Heading3"/>
      </w:pPr>
      <w:r>
        <w:t xml:space="preserve">Case 3 — NSA Bulk Collection: Constraint Built into the Program (2001–2015)</w:t>
      </w:r>
    </w:p>
    <w:p>
      <w:pPr>
        <w:pStyle w:val="FirstParagraph"/>
      </w:pPr>
      <w:r>
        <w:rPr>
          <w:bCs/>
          <w:b/>
        </w:rPr>
        <w:t xml:space="preserve">Phase 1: The scandal.</w:t>
      </w:r>
      <w:r>
        <w:t xml:space="preserve"> </w:t>
      </w:r>
      <w:r>
        <w:t xml:space="preserve">In this case objection inside the oversight channel stayed muted for years, and the disclosures that changed the program came from outside. Bulk collection of telephone records began in late 2001 under presidential authorization and moved under Section 215 of the USA PATRIOT Act by court order in May 2006, the month a</w:t>
      </w:r>
      <w:r>
        <w:t xml:space="preserve"> </w:t>
      </w:r>
      <w:r>
        <w:rPr>
          <w:iCs/>
          <w:i/>
        </w:rPr>
        <w:t xml:space="preserve">USA Today</w:t>
      </w:r>
      <w:r>
        <w:t xml:space="preserve"> </w:t>
      </w:r>
      <w:r>
        <w:t xml:space="preserve">report described the collection. A December 2005</w:t>
      </w:r>
      <w:r>
        <w:t xml:space="preserve"> </w:t>
      </w:r>
      <w:r>
        <w:rPr>
          <w:iCs/>
          <w:i/>
        </w:rPr>
        <w:t xml:space="preserve">New York Times</w:t>
      </w:r>
      <w:r>
        <w:t xml:space="preserve"> </w:t>
      </w:r>
      <w:r>
        <w:t xml:space="preserve">report had disclosed a companion program of warrantless interception, not the call-records collection.</w:t>
      </w:r>
      <w:r>
        <w:rPr>
          <w:rStyle w:val="FootnoteReference"/>
        </w:rPr>
        <w:footnoteReference w:id="87"/>
      </w:r>
      <w:r>
        <w:t xml:space="preserve"> </w:t>
      </w:r>
      <w:r>
        <w:t xml:space="preserve">Edward Snowden’s disclosures, first published in</w:t>
      </w:r>
      <w:r>
        <w:t xml:space="preserve"> </w:t>
      </w:r>
      <w:r>
        <w:rPr>
          <w:iCs/>
          <w:i/>
        </w:rPr>
        <w:t xml:space="preserve">The Guardian</w:t>
      </w:r>
      <w:r>
        <w:t xml:space="preserve"> </w:t>
      </w:r>
      <w:r>
        <w:t xml:space="preserve">on June 5, 2013, revealed the court order and its Section 215 basis.</w:t>
      </w:r>
      <w:r>
        <w:rPr>
          <w:rStyle w:val="FootnoteReference"/>
        </w:rPr>
        <w:footnoteReference w:id="88"/>
      </w:r>
    </w:p>
    <w:p>
      <w:pPr>
        <w:pStyle w:val="BodyText"/>
      </w:pPr>
      <w:r>
        <w:rPr>
          <w:bCs/>
          <w:b/>
        </w:rPr>
        <w:t xml:space="preserve">Phase 2: The congressional request.</w:t>
      </w:r>
      <w:r>
        <w:t xml:space="preserve"> </w:t>
      </w:r>
      <w:r>
        <w:t xml:space="preserve">Access rules changed across the period. From October 2001 briefings required White House approval and began with the chairs and ranking members of the intelligence committees.</w:t>
      </w:r>
      <w:r>
        <w:rPr>
          <w:rStyle w:val="FootnoteReference"/>
        </w:rPr>
        <w:footnoteReference w:id="89"/>
      </w:r>
      <w:r>
        <w:t xml:space="preserve"> </w:t>
      </w:r>
      <w:r>
        <w:t xml:space="preserve">By the 2010 and 2011 reauthorizations that was no longer the governing regime: the intelligence and judiciary committees held the court’s orders, and a classified summary without legal analysis had been offered to all members, though the House committee did not circulate the 2011 paper. Notification remained limited in a narrower sense. Other members could not read the orders, and, as Senators Ron Wyden and Mark Udall told the Attorney General, most members had no staff cleared to read the documents. The two senators could not say publicly what they knew: their September 21, 2011 letter warned that the government relied on</w:t>
      </w:r>
      <w:r>
        <w:t xml:space="preserve"> </w:t>
      </w:r>
      <w:r>
        <w:t xml:space="preserve">“</w:t>
      </w:r>
      <w:r>
        <w:t xml:space="preserve">secret</w:t>
      </w:r>
      <w:r>
        <w:t xml:space="preserve">”</w:t>
      </w:r>
      <w:r>
        <w:t xml:space="preserve"> </w:t>
      </w:r>
      <w:r>
        <w:t xml:space="preserve">interpretations of surveillance law, and their March 15, 2012 letter pressed for declassification.</w:t>
      </w:r>
      <w:r>
        <w:rPr>
          <w:rStyle w:val="FootnoteReference"/>
        </w:rPr>
        <w:footnoteReference w:id="90"/>
      </w:r>
      <w:r>
        <w:t xml:space="preserve"> </w:t>
      </w:r>
      <w:r>
        <w:t xml:space="preserve">Senate Resolution 400 also supplied subpoena authority and a classified-information disclosure procedure.</w:t>
      </w:r>
      <w:r>
        <w:rPr>
          <w:rStyle w:val="FootnoteReference"/>
        </w:rPr>
        <w:footnoteReference w:id="91"/>
      </w:r>
    </w:p>
    <w:p>
      <w:pPr>
        <w:pStyle w:val="BodyText"/>
      </w:pPr>
      <w:r>
        <w:rPr>
          <w:bCs/>
          <w:b/>
        </w:rPr>
        <w:t xml:space="preserve">Phase 3: The executive offer.</w:t>
      </w:r>
      <w:r>
        <w:t xml:space="preserve"> </w:t>
      </w:r>
      <w:r>
        <w:t xml:space="preserve">The executive controlled the architecture rather than negotiating disclosure. For the 2001–07 phase, the NSA Inspector General’s working draft records that General Hayden gave over 49 briefings to members or staff and recalled that</w:t>
      </w:r>
      <w:r>
        <w:t xml:space="preserve"> </w:t>
      </w:r>
      <w:r>
        <w:rPr>
          <w:iCs/>
          <w:i/>
        </w:rPr>
        <w:t xml:space="preserve">“</w:t>
      </w:r>
      <w:r>
        <w:rPr>
          <w:iCs/>
          <w:i/>
        </w:rPr>
        <w:t xml:space="preserve">no one ever said that NSA should stop what it was doing.</w:t>
      </w:r>
      <w:r>
        <w:rPr>
          <w:iCs/>
          <w:i/>
        </w:rPr>
        <w:t xml:space="preserve">”</w:t>
      </w:r>
      <w:r>
        <w:t xml:space="preserve"> </w:t>
      </w:r>
      <w:r>
        <w:t xml:space="preserve">That was Hayden’s inference, not a finding of congressional consent (selective disclosure, executive self-definition).</w:t>
      </w:r>
      <w:r>
        <w:rPr>
          <w:vertAlign w:val="superscript"/>
        </w:rPr>
        <w:t xml:space="preserve">see n. 61</w:t>
      </w:r>
      <w:r>
        <w:t xml:space="preserve"> </w:t>
      </w:r>
      <w:r>
        <w:t xml:space="preserve">On March 12, 2013, asked by Wyden in open session whether the NSA collected</w:t>
      </w:r>
      <w:r>
        <w:t xml:space="preserve"> </w:t>
      </w:r>
      <w:r>
        <w:rPr>
          <w:iCs/>
          <w:i/>
        </w:rPr>
        <w:t xml:space="preserve">“</w:t>
      </w:r>
      <w:r>
        <w:rPr>
          <w:iCs/>
          <w:i/>
        </w:rPr>
        <w:t xml:space="preserve">any type of data at all on millions, or hundreds of millions, of Americans,</w:t>
      </w:r>
      <w:r>
        <w:rPr>
          <w:iCs/>
          <w:i/>
        </w:rPr>
        <w:t xml:space="preserve">”</w:t>
      </w:r>
      <w:r>
        <w:t xml:space="preserve"> </w:t>
      </w:r>
      <w:r>
        <w:t xml:space="preserve">Director of National Intelligence James Clapper answered</w:t>
      </w:r>
      <w:r>
        <w:t xml:space="preserve"> </w:t>
      </w:r>
      <w:r>
        <w:rPr>
          <w:iCs/>
          <w:i/>
        </w:rPr>
        <w:t xml:space="preserve">“</w:t>
      </w:r>
      <w:r>
        <w:rPr>
          <w:iCs/>
          <w:i/>
        </w:rPr>
        <w:t xml:space="preserve">No, sir,</w:t>
      </w:r>
      <w:r>
        <w:rPr>
          <w:iCs/>
          <w:i/>
        </w:rPr>
        <w:t xml:space="preserve">”</w:t>
      </w:r>
      <w:r>
        <w:t xml:space="preserve"> </w:t>
      </w:r>
      <w:r>
        <w:t xml:space="preserve">then</w:t>
      </w:r>
      <w:r>
        <w:t xml:space="preserve"> </w:t>
      </w:r>
      <w:r>
        <w:rPr>
          <w:iCs/>
          <w:i/>
        </w:rPr>
        <w:t xml:space="preserve">“</w:t>
      </w:r>
      <w:r>
        <w:rPr>
          <w:iCs/>
          <w:i/>
        </w:rPr>
        <w:t xml:space="preserve">Not wittingly,</w:t>
      </w:r>
      <w:r>
        <w:rPr>
          <w:iCs/>
          <w:i/>
        </w:rPr>
        <w:t xml:space="preserve">”</w:t>
      </w:r>
      <w:r>
        <w:t xml:space="preserve"> </w:t>
      </w:r>
      <w:r>
        <w:t xml:space="preserve">an inaccurate answer; the transcript does not establish that he knew it was false.</w:t>
      </w:r>
      <w:r>
        <w:rPr>
          <w:rStyle w:val="FootnoteReference"/>
        </w:rPr>
        <w:footnoteReference w:id="92"/>
      </w:r>
      <w:r>
        <w:t xml:space="preserve"> </w:t>
      </w:r>
      <w:r>
        <w:t xml:space="preserve">The executive claimed statutory authority, although the Second Circuit later held that Section 215 did not authorize this program. After June 2013 it released court opinions and orders in stages.</w:t>
      </w:r>
      <w:r>
        <w:rPr>
          <w:vertAlign w:val="superscript"/>
        </w:rPr>
        <w:t xml:space="preserve">see n. 60</w:t>
      </w:r>
    </w:p>
    <w:p>
      <w:pPr>
        <w:pStyle w:val="BodyText"/>
      </w:pPr>
      <w:r>
        <w:rPr>
          <w:bCs/>
          <w:b/>
        </w:rPr>
        <w:t xml:space="preserve">Phase 4: The congressional response.</w:t>
      </w:r>
      <w:r>
        <w:t xml:space="preserve"> </w:t>
      </w:r>
      <w:r>
        <w:t xml:space="preserve">In 2008 Congress barred civil suits against providers that had assisted the President’s program, on the Attorney General’s certification.</w:t>
      </w:r>
      <w:r>
        <w:rPr>
          <w:vertAlign w:val="superscript"/>
        </w:rPr>
        <w:t xml:space="preserve">see n. 59</w:t>
      </w:r>
      <w:r>
        <w:t xml:space="preserve"> </w:t>
      </w:r>
      <w:r>
        <w:t xml:space="preserve">It extended Section 215 in 2010 and 2011 while four committees held the orders, which is consent under classification as much as denial of information. After the 2013 disclosures it legislated: the USA FREEDOM Act of 2015 ended bulk collection under Section 215 after a 180-day transition, passing a Republican-majority House 338–88 under a Democratic President, and left the Section 702 architecture intact.</w:t>
      </w:r>
      <w:r>
        <w:rPr>
          <w:vertAlign w:val="superscript"/>
        </w:rPr>
        <w:t xml:space="preserve">see n. 60</w:t>
      </w:r>
      <w:r>
        <w:t xml:space="preserve"> </w:t>
      </w:r>
      <w:r>
        <w:t xml:space="preserve">In the courts, the Second Circuit held the program statutorily unauthorized without reaching the constitutional issue; the D.C. Circuit vacated a district-court injunction on standing grounds; and in 2020 the Ninth Circuit held that the collection exceeded Section 215 and may have violated the Fourth Amendment, without suppressing evidence.</w:t>
      </w:r>
      <w:r>
        <w:rPr>
          <w:rStyle w:val="FootnoteReference"/>
        </w:rPr>
        <w:footnoteReference w:id="93"/>
      </w:r>
    </w:p>
    <w:p>
      <w:pPr>
        <w:pStyle w:val="BodyText"/>
      </w:pPr>
      <w:r>
        <w:rPr>
          <w:bCs/>
          <w:b/>
        </w:rPr>
        <w:t xml:space="preserve">Phase 5: Individual accountability.</w:t>
      </w:r>
      <w:r>
        <w:t xml:space="preserve"> </w:t>
      </w:r>
      <w:r>
        <w:t xml:space="preserve">On April 8, 2014, Attorney General Holder acknowledged Representative Sensenbrenner’s letter about Clapper’s testimony and said DOJ was reviewing material supplied by members, without confirming an investigation. No charge against Clapper is established by the reviewed record, and the five-year limitation period for the testimony has run. A member request, a committee referral, an investigation, and a charge are distinct events; this exchange establishes only the first.</w:t>
      </w:r>
      <w:r>
        <w:rPr>
          <w:vertAlign w:val="superscript"/>
        </w:rPr>
        <w:t xml:space="preserve">see n. 64</w:t>
      </w:r>
    </w:p>
    <w:bookmarkEnd w:id="94"/>
    <w:bookmarkStart w:id="101" w:name="X7822207fca031900f928ada8c8e842b707d7dd7"/>
    <w:p>
      <w:pPr>
        <w:pStyle w:val="Heading3"/>
      </w:pPr>
      <w:r>
        <w:t xml:space="preserve">Case 4 — The CIA Interrogation Program: Investigation under Counter-Pressure (2002–2014)</w:t>
      </w:r>
    </w:p>
    <w:p>
      <w:pPr>
        <w:pStyle w:val="FirstParagraph"/>
      </w:pPr>
      <w:r>
        <w:rPr>
          <w:bCs/>
          <w:b/>
        </w:rPr>
        <w:t xml:space="preserve">Phase 1: The scandal.</w:t>
      </w:r>
      <w:r>
        <w:t xml:space="preserve"> </w:t>
      </w:r>
      <w:r>
        <w:t xml:space="preserve">Until September 6, 2006, when the President publicly acknowledged the program, the CIA restricted information about it to the Senate committee’s chairman and vice chairman; the executive chose when access widened.</w:t>
      </w:r>
      <w:r>
        <w:rPr>
          <w:vertAlign w:val="superscript"/>
        </w:rPr>
        <w:t xml:space="preserve">see n. 32</w:t>
      </w:r>
      <w:r>
        <w:t xml:space="preserve"> </w:t>
      </w:r>
      <w:r>
        <w:t xml:space="preserve">The inquiry followed an external disclosure: in December 2007 the</w:t>
      </w:r>
      <w:r>
        <w:t xml:space="preserve"> </w:t>
      </w:r>
      <w:r>
        <w:rPr>
          <w:iCs/>
          <w:i/>
        </w:rPr>
        <w:t xml:space="preserve">New York Times</w:t>
      </w:r>
      <w:r>
        <w:t xml:space="preserve"> </w:t>
      </w:r>
      <w:r>
        <w:t xml:space="preserve">revealed that the CIA had destroyed videotapes of detainee interrogations, a destruction ordered in 2005 by Jose A. Rodriguez Jr., and the committee began its review on December 11, 2007, after the CIA Director briefed it that day.</w:t>
      </w:r>
      <w:r>
        <w:rPr>
          <w:rStyle w:val="FootnoteReference"/>
        </w:rPr>
        <w:footnoteReference w:id="95"/>
      </w:r>
    </w:p>
    <w:p>
      <w:pPr>
        <w:pStyle w:val="BodyText"/>
      </w:pPr>
      <w:r>
        <w:rPr>
          <w:bCs/>
          <w:b/>
        </w:rPr>
        <w:t xml:space="preserve">Phase 2: The congressional request.</w:t>
      </w:r>
      <w:r>
        <w:t xml:space="preserve"> </w:t>
      </w:r>
      <w:r>
        <w:t xml:space="preserve">The SSCI authorized its study on March 5, 2009. Staff reviewed more than six million pages of CIA documents before the committee approved the report in December 2012 by a 9–6 vote; the final report exceeded 6,700 pages, with approximately 38,000 footnotes.</w:t>
      </w:r>
      <w:r>
        <w:rPr>
          <w:vertAlign w:val="superscript"/>
        </w:rPr>
        <w:t xml:space="preserve">see n. 32</w:t>
      </w:r>
      <w:r>
        <w:t xml:space="preserve"> </w:t>
      </w:r>
      <w:r>
        <w:t xml:space="preserve">Its demand ran through negotiated declassification of the CIA’s own document set rather than compelled release. Attorney General Holder’s expansion of the Justice Department inquiry in August 2009 left CIA personnel unavailable for staff interviews.</w:t>
      </w:r>
    </w:p>
    <w:p>
      <w:pPr>
        <w:pStyle w:val="BodyText"/>
      </w:pPr>
      <w:r>
        <w:rPr>
          <w:bCs/>
          <w:b/>
        </w:rPr>
        <w:t xml:space="preserve">Phase 3: The executive offer.</w:t>
      </w:r>
      <w:r>
        <w:t xml:space="preserve"> </w:t>
      </w:r>
      <w:r>
        <w:t xml:space="preserve">The executive released a fixed fraction and resisted further demand. Only the Executive Summary (499 pages, released with the Findings and Conclusions as a 525-page document) was made public, on December 9, 2014, while the full report, more than 6,700 pages, stayed classified (selective disclosure, executive self-definition, delayed compliance). The White House withheld approximately 9,400 CIA documents from the committee pending a determination on executive privilege, and three written requests in 2013 went unanswered.</w:t>
      </w:r>
      <w:r>
        <w:rPr>
          <w:vertAlign w:val="superscript"/>
        </w:rPr>
        <w:t xml:space="preserve">see n. 32</w:t>
      </w:r>
      <w:r>
        <w:t xml:space="preserve"> </w:t>
      </w:r>
      <w:r>
        <w:t xml:space="preserve">Sen. Dianne Feinstein’s March 11, 2014 floor statement described the counter-pressure: the removal in 2010 of documents already provided to committee staff; CIA searches of committee staff computers in January 2014; Director Brennan’s January 15, 2014 emergency meeting; and a CIA criminal referral against committee staff. Feinstein named the stakes:</w:t>
      </w:r>
      <w:r>
        <w:t xml:space="preserve"> </w:t>
      </w:r>
      <w:r>
        <w:t xml:space="preserve">“</w:t>
      </w:r>
      <w:r>
        <w:t xml:space="preserve">How this will be resolved will show whether the intelligence committee can be effective in monitoring and investigating our Nation’s intelligence activities or whether our work can be thwarted by those we oversee.</w:t>
      </w:r>
      <w:r>
        <w:t xml:space="preserve">”</w:t>
      </w:r>
      <w:r>
        <w:rPr>
          <w:rStyle w:val="FootnoteReference"/>
        </w:rPr>
        <w:footnoteReference w:id="96"/>
      </w:r>
    </w:p>
    <w:p>
      <w:pPr>
        <w:pStyle w:val="BodyText"/>
      </w:pPr>
      <w:r>
        <w:rPr>
          <w:bCs/>
          <w:b/>
        </w:rPr>
        <w:t xml:space="preserve">Phase 4: The congressional response.</w:t>
      </w:r>
      <w:r>
        <w:t xml:space="preserve"> </w:t>
      </w:r>
      <w:r>
        <w:t xml:space="preserve">The outcome was mixed. Within the period, statutes of 2005 and 2006 limited both cruel treatment and accountability for it; the first, and then</w:t>
      </w:r>
      <w:r>
        <w:t xml:space="preserve"> </w:t>
      </w:r>
      <w:r>
        <w:rPr>
          <w:iCs/>
          <w:i/>
        </w:rPr>
        <w:t xml:space="preserve">Hamdan v. Rumsfeld</w:t>
      </w:r>
      <w:r>
        <w:t xml:space="preserve">, only paused the interrogation techniques.</w:t>
      </w:r>
      <w:r>
        <w:rPr>
          <w:rStyle w:val="FootnoteReference"/>
        </w:rPr>
        <w:footnoteReference w:id="97"/>
      </w:r>
      <w:r>
        <w:rPr>
          <w:vertAlign w:val="superscript"/>
        </w:rPr>
        <w:t xml:space="preserve">,</w:t>
      </w:r>
      <w:r>
        <w:rPr>
          <w:rStyle w:val="FootnoteReference"/>
        </w:rPr>
        <w:footnoteReference w:id="98"/>
      </w:r>
      <w:r>
        <w:t xml:space="preserve"> </w:t>
      </w:r>
      <w:r>
        <w:t xml:space="preserve">After the period, FY2016 NDAA Section 1045 codified anti-torture provisions, a real policy and institutional gain.</w:t>
      </w:r>
      <w:r>
        <w:rPr>
          <w:rStyle w:val="FootnoteReference"/>
        </w:rPr>
        <w:footnoteReference w:id="99"/>
      </w:r>
      <w:r>
        <w:t xml:space="preserve"> </w:t>
      </w:r>
      <w:r>
        <w:t xml:space="preserve">The full report was not released: the committee sent only the summary for declassification, and in 2016 the D.C. Circuit held the full report a congressional record outside the Freedom of Information Act (FOIA).</w:t>
      </w:r>
    </w:p>
    <w:p>
      <w:pPr>
        <w:pStyle w:val="BodyText"/>
      </w:pPr>
      <w:r>
        <w:rPr>
          <w:bCs/>
          <w:b/>
        </w:rPr>
        <w:t xml:space="preserve">Phase 5: Individual accountability.</w:t>
      </w:r>
      <w:r>
        <w:t xml:space="preserve"> </w:t>
      </w:r>
      <w:r>
        <w:t xml:space="preserve">Accountability was declined at the outset. No senior official was prosecuted, and the Durham review closed with no charges. The Office of Professional Responsibility found professional misconduct by Yoo and Bybee; Associate Deputy Attorney General David Margolis declined to adopt those findings, treating the conduct as flawed judgment rather than misconduct, and no discipline followed. The computer-search dispute produced two referrals: the CIA Inspector General referred possible CIA personnel misconduct, and the acting general counsel filed a crimes report against committee staff.</w:t>
      </w:r>
      <w:r>
        <w:rPr>
          <w:vertAlign w:val="superscript"/>
        </w:rPr>
        <w:t xml:space="preserve">see n. 67</w:t>
      </w:r>
      <w:r>
        <w:rPr>
          <w:vertAlign w:val="superscript"/>
        </w:rPr>
        <w:t xml:space="preserve">,</w:t>
      </w:r>
      <w:r>
        <w:rPr>
          <w:vertAlign w:val="superscript"/>
        </w:rPr>
        <w:t xml:space="preserve">see n. 70</w:t>
      </w:r>
    </w:p>
    <w:p>
      <w:r>
        <w:pict>
          <v:rect style="width:0;height:1.5pt" o:hralign="center" o:hrstd="t" o:hr="t"/>
        </w:pict>
      </w:r>
    </w:p>
    <w:p>
      <w:pPr>
        <w:pStyle w:val="FirstParagraph"/>
      </w:pPr>
      <w:r>
        <w:t xml:space="preserve">The four episodes illustrate constrained bargaining but do not establish it as an invariant property of U.S. constitutional architecture. Table 7 gives the exploratory coding, with the Watergate tapes dispute as a contrast column; the evidence, the codebook, and the separate Pike and Church profiles are in Appendix B.</w:t>
      </w:r>
      <w:r>
        <w:rPr>
          <w:vertAlign w:val="superscript"/>
        </w:rPr>
        <w:t xml:space="preserve">see n. 49</w:t>
      </w:r>
    </w:p>
    <w:p>
      <w:pPr>
        <w:pStyle w:val="BodyText"/>
      </w:pPr>
      <w:r>
        <w:rPr>
          <w:bCs/>
          <w:b/>
        </w:rPr>
        <w:t xml:space="preserve">Table 7. Exploratory per-indicator coding across the four historical cases and one contrast case, by phase</w:t>
      </w:r>
      <w:r>
        <w:rPr>
          <w:rStyle w:val="FootnoteReference"/>
        </w:rPr>
        <w:footnoteReference w:id="100"/>
      </w:r>
      <w:r>
        <w:rPr>
          <w:bCs/>
          <w:b/>
        </w:rPr>
        <w:t xml:space="preserve"> </w:t>
      </w:r>
      <w:r>
        <w:rPr>
          <w:bCs/>
          <w:b/>
        </w:rPr>
        <w:t xml:space="preserve">(indicators per Table 4; evidence and codebook in Appendix B; ✓ supported, ◑ mixed, ? insufficient evidence, ✗ contrary, n/a no congressional invocation documented)</w:t>
      </w:r>
    </w:p>
    <w:tbl>
      <w:tblPr>
        <w:tblStyle w:val="Table"/>
        <w:tblW w:type="pct" w:w="5000"/>
        <w:tblLook w:firstRow="1" w:lastRow="0" w:firstColumn="0" w:lastColumn="0" w:noHBand="0" w:noVBand="0" w:val="0020"/>
        <w:jc w:val="start"/>
        <w:tblLayout w:type="autofit"/>
      </w:tblPr>
      <w:tblGrid>
        <w:gridCol w:w="766"/>
        <w:gridCol w:w="766"/>
        <w:gridCol w:w="1277"/>
        <w:gridCol w:w="1277"/>
        <w:gridCol w:w="1277"/>
        <w:gridCol w:w="1277"/>
        <w:gridCol w:w="1277"/>
      </w:tblGrid>
      <w:tr>
        <w:trPr>
          <w:tblHeader w:val="true"/>
          <w:cantSplit/>
        </w:trPr>
        <w:tc>
          <w:tcPr>
            <w:tcW w:type="pct" w:w="484"/>
          </w:tcPr>
          <w:p>
            <w:pPr>
              <w:pStyle w:val="Compact"/>
              <w:jc w:val="left"/>
            </w:pPr>
            <w:r>
              <w:rPr>
                <w:b/>
                <w:sz w:val="20"/>
              </w:rPr>
              <w:t xml:space="preserve">Phase</w:t>
            </w:r>
          </w:p>
        </w:tc>
        <w:tc>
          <w:tcPr>
            <w:tcW w:type="pct" w:w="484"/>
          </w:tcPr>
          <w:p>
            <w:pPr>
              <w:pStyle w:val="Compact"/>
              <w:jc w:val="left"/>
            </w:pPr>
            <w:r>
              <w:rPr>
                <w:b/>
                <w:sz w:val="20"/>
              </w:rPr>
              <w:t xml:space="preserve">Indicator</w:t>
            </w:r>
          </w:p>
        </w:tc>
        <w:tc>
          <w:tcPr>
            <w:tcW w:type="pct" w:w="806"/>
          </w:tcPr>
          <w:p>
            <w:pPr>
              <w:pStyle w:val="Compact"/>
              <w:jc w:val="center"/>
            </w:pPr>
            <w:r>
              <w:rPr>
                <w:b/>
                <w:sz w:val="20"/>
              </w:rPr>
              <w:t xml:space="preserve">Pike and Church</w:t>
            </w:r>
          </w:p>
        </w:tc>
        <w:tc>
          <w:tcPr>
            <w:tcW w:type="pct" w:w="806"/>
          </w:tcPr>
          <w:p>
            <w:pPr>
              <w:pStyle w:val="Compact"/>
              <w:jc w:val="center"/>
            </w:pPr>
            <w:r>
              <w:rPr>
                <w:b/>
                <w:sz w:val="20"/>
              </w:rPr>
              <w:t xml:space="preserve">Iran-Contra</w:t>
            </w:r>
          </w:p>
        </w:tc>
        <w:tc>
          <w:tcPr>
            <w:tcW w:type="pct" w:w="806"/>
          </w:tcPr>
          <w:p>
            <w:pPr>
              <w:pStyle w:val="Compact"/>
              <w:jc w:val="center"/>
            </w:pPr>
            <w:r>
              <w:rPr>
                <w:b/>
                <w:sz w:val="20"/>
              </w:rPr>
              <w:t xml:space="preserve">NSA bulk collection</w:t>
            </w:r>
          </w:p>
        </w:tc>
        <w:tc>
          <w:tcPr>
            <w:tcW w:type="pct" w:w="806"/>
          </w:tcPr>
          <w:p>
            <w:pPr>
              <w:pStyle w:val="Compact"/>
              <w:jc w:val="center"/>
            </w:pPr>
            <w:r>
              <w:rPr>
                <w:b/>
                <w:sz w:val="20"/>
              </w:rPr>
              <w:t xml:space="preserve">CIA Interrogation Program</w:t>
            </w:r>
          </w:p>
        </w:tc>
        <w:tc>
          <w:tcPr>
            <w:tcW w:type="pct" w:w="808"/>
          </w:tcPr>
          <w:p>
            <w:pPr>
              <w:pStyle w:val="Compact"/>
              <w:jc w:val="center"/>
            </w:pPr>
            <w:r>
              <w:rPr>
                <w:b/>
                <w:sz w:val="20"/>
              </w:rPr>
              <w:t xml:space="preserve">Watergate tapes (contrast)</w:t>
            </w:r>
          </w:p>
        </w:tc>
      </w:tr>
      <w:tr>
        <w:trPr>
          <w:cantSplit/>
        </w:trPr>
        <w:tc>
          <w:tcPr>
            <w:tcW w:type="pct" w:w="484"/>
          </w:tcPr>
          <w:p>
            <w:pPr>
              <w:pStyle w:val="Compact"/>
              <w:jc w:val="left"/>
            </w:pPr>
            <w:r>
              <w:rPr>
                <w:sz w:val="20"/>
              </w:rPr>
              <w:t xml:space="preserve">1</w:t>
            </w:r>
          </w:p>
        </w:tc>
        <w:tc>
          <w:tcPr>
            <w:tcW w:type="pct" w:w="484"/>
          </w:tcPr>
          <w:p>
            <w:pPr>
              <w:pStyle w:val="Compact"/>
              <w:jc w:val="left"/>
            </w:pPr>
            <w:r>
              <w:rPr>
                <w:sz w:val="20"/>
              </w:rPr>
              <w:t xml:space="preserve">Exogenous rupture</w:t>
            </w:r>
            <w:r>
              <w:rPr>
                <w:sz w:val="20"/>
              </w:rPr>
              <w:t xml:space="preserve"> </w:t>
            </w:r>
            <w:r>
              <w:rPr>
                <w:iCs/>
                <w:i/>
                <w:sz w:val="20"/>
              </w:rPr>
              <w:t xml:space="preserve">(bracket)</w:t>
            </w:r>
          </w:p>
        </w:tc>
        <w:tc>
          <w:tcPr>
            <w:tcW w:type="pct" w:w="806"/>
          </w:tcPr>
          <w:p>
            <w:pPr>
              <w:pStyle w:val="Compact"/>
              <w:jc w:val="center"/>
            </w:pPr>
            <w:r>
              <w:rPr>
                <w:sz w:val="20"/>
              </w:rPr>
              <w:t xml:space="preserve">◑</w:t>
            </w:r>
          </w:p>
        </w:tc>
        <w:tc>
          <w:tcPr>
            <w:tcW w:type="pct" w:w="806"/>
          </w:tcPr>
          <w:p>
            <w:pPr>
              <w:pStyle w:val="Compact"/>
              <w:jc w:val="center"/>
            </w:pPr>
            <w:r>
              <w:rPr>
                <w:sz w:val="20"/>
              </w:rPr>
              <w:t xml:space="preserve">✓</w:t>
            </w:r>
          </w:p>
        </w:tc>
        <w:tc>
          <w:tcPr>
            <w:tcW w:type="pct" w:w="806"/>
          </w:tcPr>
          <w:p>
            <w:pPr>
              <w:pStyle w:val="Compact"/>
              <w:jc w:val="center"/>
            </w:pPr>
            <w:r>
              <w:rPr>
                <w:sz w:val="20"/>
              </w:rPr>
              <w:t xml:space="preserve">✓</w:t>
            </w:r>
          </w:p>
        </w:tc>
        <w:tc>
          <w:tcPr>
            <w:tcW w:type="pct" w:w="806"/>
          </w:tcPr>
          <w:p>
            <w:pPr>
              <w:pStyle w:val="Compact"/>
              <w:jc w:val="center"/>
            </w:pPr>
            <w:r>
              <w:rPr>
                <w:sz w:val="20"/>
              </w:rPr>
              <w:t xml:space="preserve">✓</w:t>
            </w:r>
          </w:p>
        </w:tc>
        <w:tc>
          <w:tcPr>
            <w:tcW w:type="pct" w:w="808"/>
          </w:tcPr>
          <w:p>
            <w:pPr>
              <w:pStyle w:val="Compact"/>
              <w:jc w:val="center"/>
            </w:pPr>
            <w:r>
              <w:rPr>
                <w:sz w:val="20"/>
              </w:rPr>
              <w:t xml:space="preserve">◑</w:t>
            </w:r>
          </w:p>
        </w:tc>
      </w:tr>
      <w:tr>
        <w:trPr>
          <w:cantSplit/>
        </w:trPr>
        <w:tc>
          <w:tcPr>
            <w:tcW w:type="pct" w:w="484"/>
          </w:tcPr>
          <w:p>
            <w:pPr>
              <w:pStyle w:val="Compact"/>
              <w:jc w:val="left"/>
            </w:pPr>
            <w:r>
              <w:rPr>
                <w:sz w:val="20"/>
              </w:rPr>
              <w:t xml:space="preserve">2</w:t>
            </w:r>
          </w:p>
        </w:tc>
        <w:tc>
          <w:tcPr>
            <w:tcW w:type="pct" w:w="484"/>
          </w:tcPr>
          <w:p>
            <w:pPr>
              <w:pStyle w:val="Compact"/>
              <w:jc w:val="left"/>
            </w:pPr>
            <w:r>
              <w:rPr>
                <w:sz w:val="20"/>
              </w:rPr>
              <w:t xml:space="preserve">Demand posture</w:t>
            </w:r>
          </w:p>
        </w:tc>
        <w:tc>
          <w:tcPr>
            <w:tcW w:type="pct" w:w="806"/>
          </w:tcPr>
          <w:p>
            <w:pPr>
              <w:pStyle w:val="Compact"/>
              <w:jc w:val="center"/>
            </w:pPr>
            <w:r>
              <w:rPr>
                <w:sz w:val="20"/>
              </w:rPr>
              <w:t xml:space="preserve">✓</w:t>
            </w:r>
          </w:p>
        </w:tc>
        <w:tc>
          <w:tcPr>
            <w:tcW w:type="pct" w:w="806"/>
          </w:tcPr>
          <w:p>
            <w:pPr>
              <w:pStyle w:val="Compact"/>
              <w:jc w:val="center"/>
            </w:pPr>
            <w:r>
              <w:rPr>
                <w:sz w:val="20"/>
              </w:rPr>
              <w:t xml:space="preserve">✓</w:t>
            </w:r>
          </w:p>
        </w:tc>
        <w:tc>
          <w:tcPr>
            <w:tcW w:type="pct" w:w="806"/>
          </w:tcPr>
          <w:p>
            <w:pPr>
              <w:pStyle w:val="Compact"/>
              <w:jc w:val="center"/>
            </w:pPr>
            <w:r>
              <w:rPr>
                <w:sz w:val="20"/>
              </w:rPr>
              <w:t xml:space="preserve">◑</w:t>
            </w:r>
          </w:p>
        </w:tc>
        <w:tc>
          <w:tcPr>
            <w:tcW w:type="pct" w:w="806"/>
          </w:tcPr>
          <w:p>
            <w:pPr>
              <w:pStyle w:val="Compact"/>
              <w:jc w:val="center"/>
            </w:pPr>
            <w:r>
              <w:rPr>
                <w:sz w:val="20"/>
              </w:rPr>
              <w:t xml:space="preserve">✓</w:t>
            </w:r>
          </w:p>
        </w:tc>
        <w:tc>
          <w:tcPr>
            <w:tcW w:type="pct" w:w="808"/>
          </w:tcPr>
          <w:p>
            <w:pPr>
              <w:pStyle w:val="Compact"/>
              <w:jc w:val="center"/>
            </w:pPr>
            <w:r>
              <w:rPr>
                <w:sz w:val="20"/>
              </w:rPr>
              <w:t xml:space="preserve">✓</w:t>
            </w:r>
          </w:p>
        </w:tc>
      </w:tr>
      <w:tr>
        <w:trPr>
          <w:cantSplit/>
        </w:trPr>
        <w:tc>
          <w:tcPr>
            <w:tcW w:type="pct" w:w="484"/>
          </w:tcPr>
          <w:p>
            <w:pPr>
              <w:pStyle w:val="Compact"/>
              <w:jc w:val="left"/>
            </w:pPr>
            <w:r>
              <w:rPr>
                <w:sz w:val="20"/>
              </w:rPr>
              <w:t xml:space="preserve">3</w:t>
            </w:r>
          </w:p>
        </w:tc>
        <w:tc>
          <w:tcPr>
            <w:tcW w:type="pct" w:w="484"/>
          </w:tcPr>
          <w:p>
            <w:pPr>
              <w:pStyle w:val="Compact"/>
              <w:jc w:val="left"/>
            </w:pPr>
            <w:r>
              <w:rPr>
                <w:sz w:val="20"/>
              </w:rPr>
              <w:t xml:space="preserve">Selective disclosure</w:t>
            </w:r>
          </w:p>
        </w:tc>
        <w:tc>
          <w:tcPr>
            <w:tcW w:type="pct" w:w="806"/>
          </w:tcPr>
          <w:p>
            <w:pPr>
              <w:pStyle w:val="Compact"/>
              <w:jc w:val="center"/>
            </w:pPr>
            <w:r>
              <w:rPr>
                <w:sz w:val="20"/>
              </w:rPr>
              <w:t xml:space="preserve">✓</w:t>
            </w:r>
          </w:p>
        </w:tc>
        <w:tc>
          <w:tcPr>
            <w:tcW w:type="pct" w:w="806"/>
          </w:tcPr>
          <w:p>
            <w:pPr>
              <w:pStyle w:val="Compact"/>
              <w:jc w:val="center"/>
            </w:pPr>
            <w:r>
              <w:rPr>
                <w:sz w:val="20"/>
              </w:rPr>
              <w:t xml:space="preserve">✓</w:t>
            </w:r>
          </w:p>
        </w:tc>
        <w:tc>
          <w:tcPr>
            <w:tcW w:type="pct" w:w="806"/>
          </w:tcPr>
          <w:p>
            <w:pPr>
              <w:pStyle w:val="Compact"/>
              <w:jc w:val="center"/>
            </w:pPr>
            <w:r>
              <w:rPr>
                <w:sz w:val="20"/>
              </w:rPr>
              <w:t xml:space="preserve">✓</w:t>
            </w:r>
          </w:p>
        </w:tc>
        <w:tc>
          <w:tcPr>
            <w:tcW w:type="pct" w:w="806"/>
          </w:tcPr>
          <w:p>
            <w:pPr>
              <w:pStyle w:val="Compact"/>
              <w:jc w:val="center"/>
            </w:pPr>
            <w:r>
              <w:rPr>
                <w:sz w:val="20"/>
              </w:rPr>
              <w:t xml:space="preserve">✓</w:t>
            </w:r>
          </w:p>
        </w:tc>
        <w:tc>
          <w:tcPr>
            <w:tcW w:type="pct" w:w="808"/>
          </w:tcPr>
          <w:p>
            <w:pPr>
              <w:pStyle w:val="Compact"/>
              <w:jc w:val="center"/>
            </w:pPr>
            <w:r>
              <w:rPr>
                <w:sz w:val="20"/>
              </w:rPr>
              <w:t xml:space="preserve">✓</w:t>
            </w:r>
          </w:p>
        </w:tc>
      </w:tr>
      <w:tr>
        <w:trPr>
          <w:cantSplit/>
        </w:trPr>
        <w:tc>
          <w:tcPr>
            <w:tcW w:type="pct" w:w="484"/>
          </w:tcPr>
          <w:p>
            <w:pPr>
              <w:pStyle w:val="Compact"/>
              <w:jc w:val="left"/>
            </w:pPr>
            <w:r>
              <w:rPr>
                <w:sz w:val="20"/>
              </w:rPr>
              <w:t xml:space="preserve">3</w:t>
            </w:r>
          </w:p>
        </w:tc>
        <w:tc>
          <w:tcPr>
            <w:tcW w:type="pct" w:w="484"/>
          </w:tcPr>
          <w:p>
            <w:pPr>
              <w:pStyle w:val="Compact"/>
              <w:jc w:val="left"/>
            </w:pPr>
            <w:r>
              <w:rPr>
                <w:sz w:val="20"/>
              </w:rPr>
              <w:t xml:space="preserve">Justification proliferation</w:t>
            </w:r>
          </w:p>
        </w:tc>
        <w:tc>
          <w:tcPr>
            <w:tcW w:type="pct" w:w="806"/>
          </w:tcPr>
          <w:p>
            <w:pPr>
              <w:pStyle w:val="Compact"/>
              <w:jc w:val="center"/>
            </w:pPr>
            <w:r>
              <w:rPr>
                <w:sz w:val="20"/>
              </w:rPr>
              <w:t xml:space="preserve">◑</w:t>
            </w:r>
          </w:p>
        </w:tc>
        <w:tc>
          <w:tcPr>
            <w:tcW w:type="pct" w:w="806"/>
          </w:tcPr>
          <w:p>
            <w:pPr>
              <w:pStyle w:val="Compact"/>
              <w:jc w:val="center"/>
            </w:pPr>
            <w:r>
              <w:rPr>
                <w:sz w:val="20"/>
              </w:rPr>
              <w:t xml:space="preserve">✓</w:t>
            </w:r>
          </w:p>
        </w:tc>
        <w:tc>
          <w:tcPr>
            <w:tcW w:type="pct" w:w="806"/>
          </w:tcPr>
          <w:p>
            <w:pPr>
              <w:pStyle w:val="Compact"/>
              <w:jc w:val="center"/>
            </w:pPr>
            <w:r>
              <w:rPr>
                <w:sz w:val="20"/>
              </w:rPr>
              <w:t xml:space="preserve">◑</w:t>
            </w:r>
          </w:p>
        </w:tc>
        <w:tc>
          <w:tcPr>
            <w:tcW w:type="pct" w:w="806"/>
          </w:tcPr>
          <w:p>
            <w:pPr>
              <w:pStyle w:val="Compact"/>
              <w:jc w:val="center"/>
            </w:pPr>
            <w:r>
              <w:rPr>
                <w:sz w:val="20"/>
              </w:rPr>
              <w:t xml:space="preserve">◑</w:t>
            </w:r>
          </w:p>
        </w:tc>
        <w:tc>
          <w:tcPr>
            <w:tcW w:type="pct" w:w="808"/>
          </w:tcPr>
          <w:p>
            <w:pPr>
              <w:pStyle w:val="Compact"/>
              <w:jc w:val="center"/>
            </w:pPr>
            <w:r>
              <w:rPr>
                <w:sz w:val="20"/>
              </w:rPr>
              <w:t xml:space="preserve">◑</w:t>
            </w:r>
          </w:p>
        </w:tc>
      </w:tr>
      <w:tr>
        <w:trPr>
          <w:cantSplit/>
        </w:trPr>
        <w:tc>
          <w:tcPr>
            <w:tcW w:type="pct" w:w="484"/>
          </w:tcPr>
          <w:p>
            <w:pPr>
              <w:pStyle w:val="Compact"/>
              <w:jc w:val="left"/>
            </w:pPr>
            <w:r>
              <w:rPr>
                <w:sz w:val="20"/>
              </w:rPr>
              <w:t xml:space="preserve">3</w:t>
            </w:r>
          </w:p>
        </w:tc>
        <w:tc>
          <w:tcPr>
            <w:tcW w:type="pct" w:w="484"/>
          </w:tcPr>
          <w:p>
            <w:pPr>
              <w:pStyle w:val="Compact"/>
              <w:jc w:val="left"/>
            </w:pPr>
            <w:r>
              <w:rPr>
                <w:sz w:val="20"/>
              </w:rPr>
              <w:t xml:space="preserve">Delayed compliance</w:t>
            </w:r>
          </w:p>
        </w:tc>
        <w:tc>
          <w:tcPr>
            <w:tcW w:type="pct" w:w="806"/>
          </w:tcPr>
          <w:p>
            <w:pPr>
              <w:pStyle w:val="Compact"/>
              <w:jc w:val="center"/>
            </w:pPr>
            <w:r>
              <w:rPr>
                <w:sz w:val="20"/>
              </w:rPr>
              <w:t xml:space="preserve">✓</w:t>
            </w:r>
          </w:p>
        </w:tc>
        <w:tc>
          <w:tcPr>
            <w:tcW w:type="pct" w:w="806"/>
          </w:tcPr>
          <w:p>
            <w:pPr>
              <w:pStyle w:val="Compact"/>
              <w:jc w:val="center"/>
            </w:pPr>
            <w:r>
              <w:rPr>
                <w:sz w:val="20"/>
              </w:rPr>
              <w:t xml:space="preserve">✓</w:t>
            </w:r>
          </w:p>
        </w:tc>
        <w:tc>
          <w:tcPr>
            <w:tcW w:type="pct" w:w="806"/>
          </w:tcPr>
          <w:p>
            <w:pPr>
              <w:pStyle w:val="Compact"/>
              <w:jc w:val="center"/>
            </w:pPr>
            <w:r>
              <w:rPr>
                <w:sz w:val="20"/>
              </w:rPr>
              <w:t xml:space="preserve">✓</w:t>
            </w:r>
          </w:p>
        </w:tc>
        <w:tc>
          <w:tcPr>
            <w:tcW w:type="pct" w:w="806"/>
          </w:tcPr>
          <w:p>
            <w:pPr>
              <w:pStyle w:val="Compact"/>
              <w:jc w:val="center"/>
            </w:pPr>
            <w:r>
              <w:rPr>
                <w:sz w:val="20"/>
              </w:rPr>
              <w:t xml:space="preserve">✓</w:t>
            </w:r>
          </w:p>
        </w:tc>
        <w:tc>
          <w:tcPr>
            <w:tcW w:type="pct" w:w="808"/>
          </w:tcPr>
          <w:p>
            <w:pPr>
              <w:pStyle w:val="Compact"/>
              <w:jc w:val="center"/>
            </w:pPr>
            <w:r>
              <w:rPr>
                <w:sz w:val="20"/>
              </w:rPr>
              <w:t xml:space="preserve">✓</w:t>
            </w:r>
          </w:p>
        </w:tc>
      </w:tr>
      <w:tr>
        <w:trPr>
          <w:cantSplit/>
        </w:trPr>
        <w:tc>
          <w:tcPr>
            <w:tcW w:type="pct" w:w="484"/>
          </w:tcPr>
          <w:p>
            <w:pPr>
              <w:pStyle w:val="Compact"/>
              <w:jc w:val="left"/>
            </w:pPr>
            <w:r>
              <w:rPr>
                <w:sz w:val="20"/>
              </w:rPr>
              <w:t xml:space="preserve">3</w:t>
            </w:r>
          </w:p>
        </w:tc>
        <w:tc>
          <w:tcPr>
            <w:tcW w:type="pct" w:w="484"/>
          </w:tcPr>
          <w:p>
            <w:pPr>
              <w:pStyle w:val="Compact"/>
              <w:jc w:val="left"/>
            </w:pPr>
            <w:r>
              <w:rPr>
                <w:sz w:val="20"/>
              </w:rPr>
              <w:t xml:space="preserve">Executive self-definition</w:t>
            </w:r>
          </w:p>
        </w:tc>
        <w:tc>
          <w:tcPr>
            <w:tcW w:type="pct" w:w="806"/>
          </w:tcPr>
          <w:p>
            <w:pPr>
              <w:pStyle w:val="Compact"/>
              <w:jc w:val="center"/>
            </w:pPr>
            <w:r>
              <w:rPr>
                <w:sz w:val="20"/>
              </w:rPr>
              <w:t xml:space="preserve">✓</w:t>
            </w:r>
          </w:p>
        </w:tc>
        <w:tc>
          <w:tcPr>
            <w:tcW w:type="pct" w:w="806"/>
          </w:tcPr>
          <w:p>
            <w:pPr>
              <w:pStyle w:val="Compact"/>
              <w:jc w:val="center"/>
            </w:pPr>
            <w:r>
              <w:rPr>
                <w:sz w:val="20"/>
              </w:rPr>
              <w:t xml:space="preserve">✓</w:t>
            </w:r>
          </w:p>
        </w:tc>
        <w:tc>
          <w:tcPr>
            <w:tcW w:type="pct" w:w="806"/>
          </w:tcPr>
          <w:p>
            <w:pPr>
              <w:pStyle w:val="Compact"/>
              <w:jc w:val="center"/>
            </w:pPr>
            <w:r>
              <w:rPr>
                <w:sz w:val="20"/>
              </w:rPr>
              <w:t xml:space="preserve">✓</w:t>
            </w:r>
          </w:p>
        </w:tc>
        <w:tc>
          <w:tcPr>
            <w:tcW w:type="pct" w:w="806"/>
          </w:tcPr>
          <w:p>
            <w:pPr>
              <w:pStyle w:val="Compact"/>
              <w:jc w:val="center"/>
            </w:pPr>
            <w:r>
              <w:rPr>
                <w:sz w:val="20"/>
              </w:rPr>
              <w:t xml:space="preserve">✓</w:t>
            </w:r>
          </w:p>
        </w:tc>
        <w:tc>
          <w:tcPr>
            <w:tcW w:type="pct" w:w="808"/>
          </w:tcPr>
          <w:p>
            <w:pPr>
              <w:pStyle w:val="Compact"/>
              <w:jc w:val="center"/>
            </w:pPr>
            <w:r>
              <w:rPr>
                <w:sz w:val="20"/>
              </w:rPr>
              <w:t xml:space="preserve">✓</w:t>
            </w:r>
          </w:p>
        </w:tc>
      </w:tr>
      <w:tr>
        <w:trPr>
          <w:cantSplit/>
        </w:trPr>
        <w:tc>
          <w:tcPr>
            <w:tcW w:type="pct" w:w="484"/>
          </w:tcPr>
          <w:p>
            <w:pPr>
              <w:pStyle w:val="Compact"/>
              <w:jc w:val="left"/>
            </w:pPr>
            <w:r>
              <w:rPr>
                <w:sz w:val="20"/>
              </w:rPr>
              <w:t xml:space="preserve">4</w:t>
            </w:r>
          </w:p>
        </w:tc>
        <w:tc>
          <w:tcPr>
            <w:tcW w:type="pct" w:w="484"/>
          </w:tcPr>
          <w:p>
            <w:pPr>
              <w:pStyle w:val="Compact"/>
              <w:jc w:val="left"/>
            </w:pPr>
            <w:r>
              <w:rPr>
                <w:sz w:val="20"/>
              </w:rPr>
              <w:t xml:space="preserve">Majority declines an available remedy</w:t>
            </w:r>
          </w:p>
        </w:tc>
        <w:tc>
          <w:tcPr>
            <w:tcW w:type="pct" w:w="806"/>
          </w:tcPr>
          <w:p>
            <w:pPr>
              <w:pStyle w:val="Compact"/>
              <w:jc w:val="center"/>
            </w:pPr>
            <w:r>
              <w:rPr>
                <w:sz w:val="20"/>
              </w:rPr>
              <w:t xml:space="preserve">✓ (House) / ◑ (Senate)</w:t>
            </w:r>
          </w:p>
        </w:tc>
        <w:tc>
          <w:tcPr>
            <w:tcW w:type="pct" w:w="806"/>
          </w:tcPr>
          <w:p>
            <w:pPr>
              <w:pStyle w:val="Compact"/>
              <w:jc w:val="center"/>
            </w:pPr>
            <w:r>
              <w:rPr>
                <w:sz w:val="20"/>
              </w:rPr>
              <w:t xml:space="preserve">✗</w:t>
            </w:r>
          </w:p>
        </w:tc>
        <w:tc>
          <w:tcPr>
            <w:tcW w:type="pct" w:w="806"/>
          </w:tcPr>
          <w:p>
            <w:pPr>
              <w:pStyle w:val="Compact"/>
              <w:jc w:val="center"/>
            </w:pPr>
            <w:r>
              <w:rPr>
                <w:sz w:val="20"/>
              </w:rPr>
              <w:t xml:space="preserve">◑</w:t>
            </w:r>
          </w:p>
        </w:tc>
        <w:tc>
          <w:tcPr>
            <w:tcW w:type="pct" w:w="806"/>
          </w:tcPr>
          <w:p>
            <w:pPr>
              <w:pStyle w:val="Compact"/>
              <w:jc w:val="center"/>
            </w:pPr>
            <w:r>
              <w:rPr>
                <w:sz w:val="20"/>
              </w:rPr>
              <w:t xml:space="preserve">◑</w:t>
            </w:r>
          </w:p>
        </w:tc>
        <w:tc>
          <w:tcPr>
            <w:tcW w:type="pct" w:w="808"/>
          </w:tcPr>
          <w:p>
            <w:pPr>
              <w:pStyle w:val="Compact"/>
              <w:jc w:val="center"/>
            </w:pPr>
            <w:r>
              <w:rPr>
                <w:sz w:val="20"/>
              </w:rPr>
              <w:t xml:space="preserve">?</w:t>
            </w:r>
          </w:p>
        </w:tc>
      </w:tr>
      <w:tr>
        <w:trPr>
          <w:cantSplit/>
        </w:trPr>
        <w:tc>
          <w:tcPr>
            <w:tcW w:type="pct" w:w="484"/>
          </w:tcPr>
          <w:p>
            <w:pPr>
              <w:pStyle w:val="Compact"/>
              <w:jc w:val="left"/>
            </w:pPr>
            <w:r>
              <w:rPr>
                <w:sz w:val="20"/>
              </w:rPr>
              <w:t xml:space="preserve">4</w:t>
            </w:r>
          </w:p>
        </w:tc>
        <w:tc>
          <w:tcPr>
            <w:tcW w:type="pct" w:w="484"/>
          </w:tcPr>
          <w:p>
            <w:pPr>
              <w:pStyle w:val="Compact"/>
              <w:jc w:val="left"/>
            </w:pPr>
            <w:r>
              <w:rPr>
                <w:sz w:val="20"/>
              </w:rPr>
              <w:t xml:space="preserve">Remedy attempted and defeated outside Congress</w:t>
            </w:r>
          </w:p>
        </w:tc>
        <w:tc>
          <w:tcPr>
            <w:tcW w:type="pct" w:w="806"/>
          </w:tcPr>
          <w:p>
            <w:pPr>
              <w:pStyle w:val="Compact"/>
              <w:jc w:val="center"/>
            </w:pPr>
            <w:r>
              <w:rPr>
                <w:sz w:val="20"/>
              </w:rPr>
              <w:t xml:space="preserve">n/a</w:t>
            </w:r>
          </w:p>
        </w:tc>
        <w:tc>
          <w:tcPr>
            <w:tcW w:type="pct" w:w="806"/>
          </w:tcPr>
          <w:p>
            <w:pPr>
              <w:pStyle w:val="Compact"/>
              <w:jc w:val="center"/>
            </w:pPr>
            <w:r>
              <w:rPr>
                <w:sz w:val="20"/>
              </w:rPr>
              <w:t xml:space="preserve">n/a</w:t>
            </w:r>
          </w:p>
        </w:tc>
        <w:tc>
          <w:tcPr>
            <w:tcW w:type="pct" w:w="806"/>
          </w:tcPr>
          <w:p>
            <w:pPr>
              <w:pStyle w:val="Compact"/>
              <w:jc w:val="center"/>
            </w:pPr>
            <w:r>
              <w:rPr>
                <w:sz w:val="20"/>
              </w:rPr>
              <w:t xml:space="preserve">?</w:t>
            </w:r>
          </w:p>
        </w:tc>
        <w:tc>
          <w:tcPr>
            <w:tcW w:type="pct" w:w="806"/>
          </w:tcPr>
          <w:p>
            <w:pPr>
              <w:pStyle w:val="Compact"/>
              <w:jc w:val="center"/>
            </w:pPr>
            <w:r>
              <w:rPr>
                <w:sz w:val="20"/>
              </w:rPr>
              <w:t xml:space="preserve">n/a</w:t>
            </w:r>
          </w:p>
        </w:tc>
        <w:tc>
          <w:tcPr>
            <w:tcW w:type="pct" w:w="808"/>
          </w:tcPr>
          <w:p>
            <w:pPr>
              <w:pStyle w:val="Compact"/>
              <w:jc w:val="center"/>
            </w:pPr>
            <w:r>
              <w:rPr>
                <w:sz w:val="20"/>
              </w:rPr>
              <w:t xml:space="preserve">✓ (the committee’s own suit)</w:t>
            </w:r>
          </w:p>
        </w:tc>
      </w:tr>
      <w:tr>
        <w:trPr>
          <w:cantSplit/>
        </w:trPr>
        <w:tc>
          <w:tcPr>
            <w:tcW w:type="pct" w:w="484"/>
          </w:tcPr>
          <w:p>
            <w:pPr>
              <w:pStyle w:val="Compact"/>
              <w:jc w:val="left"/>
            </w:pPr>
            <w:r>
              <w:rPr>
                <w:sz w:val="20"/>
              </w:rPr>
              <w:t xml:space="preserve">4</w:t>
            </w:r>
          </w:p>
        </w:tc>
        <w:tc>
          <w:tcPr>
            <w:tcW w:type="pct" w:w="484"/>
          </w:tcPr>
          <w:p>
            <w:pPr>
              <w:pStyle w:val="Compact"/>
              <w:jc w:val="left"/>
            </w:pPr>
            <w:r>
              <w:rPr>
                <w:sz w:val="20"/>
              </w:rPr>
              <w:t xml:space="preserve">Informal negotiation</w:t>
            </w:r>
          </w:p>
        </w:tc>
        <w:tc>
          <w:tcPr>
            <w:tcW w:type="pct" w:w="806"/>
          </w:tcPr>
          <w:p>
            <w:pPr>
              <w:pStyle w:val="Compact"/>
              <w:jc w:val="center"/>
            </w:pPr>
            <w:r>
              <w:rPr>
                <w:sz w:val="20"/>
              </w:rPr>
              <w:t xml:space="preserve">✓</w:t>
            </w:r>
          </w:p>
        </w:tc>
        <w:tc>
          <w:tcPr>
            <w:tcW w:type="pct" w:w="806"/>
          </w:tcPr>
          <w:p>
            <w:pPr>
              <w:pStyle w:val="Compact"/>
              <w:jc w:val="center"/>
            </w:pPr>
            <w:r>
              <w:rPr>
                <w:sz w:val="20"/>
              </w:rPr>
              <w:t xml:space="preserve">✓</w:t>
            </w:r>
          </w:p>
        </w:tc>
        <w:tc>
          <w:tcPr>
            <w:tcW w:type="pct" w:w="806"/>
          </w:tcPr>
          <w:p>
            <w:pPr>
              <w:pStyle w:val="Compact"/>
              <w:jc w:val="center"/>
            </w:pPr>
            <w:r>
              <w:rPr>
                <w:sz w:val="20"/>
              </w:rPr>
              <w:t xml:space="preserve">◑</w:t>
            </w:r>
          </w:p>
        </w:tc>
        <w:tc>
          <w:tcPr>
            <w:tcW w:type="pct" w:w="806"/>
          </w:tcPr>
          <w:p>
            <w:pPr>
              <w:pStyle w:val="Compact"/>
              <w:jc w:val="center"/>
            </w:pPr>
            <w:r>
              <w:rPr>
                <w:sz w:val="20"/>
              </w:rPr>
              <w:t xml:space="preserve">✓</w:t>
            </w:r>
          </w:p>
        </w:tc>
        <w:tc>
          <w:tcPr>
            <w:tcW w:type="pct" w:w="808"/>
          </w:tcPr>
          <w:p>
            <w:pPr>
              <w:pStyle w:val="Compact"/>
              <w:jc w:val="center"/>
            </w:pPr>
            <w:r>
              <w:rPr>
                <w:sz w:val="20"/>
              </w:rPr>
              <w:t xml:space="preserve">◑</w:t>
            </w:r>
          </w:p>
        </w:tc>
      </w:tr>
      <w:tr>
        <w:trPr>
          <w:cantSplit/>
        </w:trPr>
        <w:tc>
          <w:tcPr>
            <w:tcW w:type="pct" w:w="484"/>
          </w:tcPr>
          <w:p>
            <w:pPr>
              <w:pStyle w:val="Compact"/>
              <w:jc w:val="left"/>
            </w:pPr>
            <w:r>
              <w:rPr>
                <w:sz w:val="20"/>
              </w:rPr>
              <w:t xml:space="preserve">5</w:t>
            </w:r>
          </w:p>
        </w:tc>
        <w:tc>
          <w:tcPr>
            <w:tcW w:type="pct" w:w="484"/>
          </w:tcPr>
          <w:p>
            <w:pPr>
              <w:pStyle w:val="Compact"/>
              <w:jc w:val="left"/>
            </w:pPr>
            <w:r>
              <w:rPr>
                <w:sz w:val="20"/>
              </w:rPr>
              <w:t xml:space="preserve">Limited individual accountability</w:t>
            </w:r>
            <w:r>
              <w:rPr>
                <w:sz w:val="20"/>
              </w:rPr>
              <w:t xml:space="preserve"> </w:t>
            </w:r>
            <w:r>
              <w:rPr>
                <w:iCs/>
                <w:i/>
                <w:sz w:val="20"/>
              </w:rPr>
              <w:t xml:space="preserve">(bracket)</w:t>
            </w:r>
          </w:p>
        </w:tc>
        <w:tc>
          <w:tcPr>
            <w:tcW w:type="pct" w:w="806"/>
          </w:tcPr>
          <w:p>
            <w:pPr>
              <w:pStyle w:val="Compact"/>
              <w:jc w:val="center"/>
            </w:pPr>
            <w:r>
              <w:rPr>
                <w:sz w:val="20"/>
              </w:rPr>
              <w:t xml:space="preserve">◑</w:t>
            </w:r>
          </w:p>
        </w:tc>
        <w:tc>
          <w:tcPr>
            <w:tcW w:type="pct" w:w="806"/>
          </w:tcPr>
          <w:p>
            <w:pPr>
              <w:pStyle w:val="Compact"/>
              <w:jc w:val="center"/>
            </w:pPr>
            <w:r>
              <w:rPr>
                <w:sz w:val="20"/>
              </w:rPr>
              <w:t xml:space="preserve">◑</w:t>
            </w:r>
          </w:p>
        </w:tc>
        <w:tc>
          <w:tcPr>
            <w:tcW w:type="pct" w:w="806"/>
          </w:tcPr>
          <w:p>
            <w:pPr>
              <w:pStyle w:val="Compact"/>
              <w:jc w:val="center"/>
            </w:pPr>
            <w:r>
              <w:rPr>
                <w:sz w:val="20"/>
              </w:rPr>
              <w:t xml:space="preserve">✓</w:t>
            </w:r>
          </w:p>
        </w:tc>
        <w:tc>
          <w:tcPr>
            <w:tcW w:type="pct" w:w="806"/>
          </w:tcPr>
          <w:p>
            <w:pPr>
              <w:pStyle w:val="Compact"/>
              <w:jc w:val="center"/>
            </w:pPr>
            <w:r>
              <w:rPr>
                <w:sz w:val="20"/>
              </w:rPr>
              <w:t xml:space="preserve">✓</w:t>
            </w:r>
          </w:p>
        </w:tc>
        <w:tc>
          <w:tcPr>
            <w:tcW w:type="pct" w:w="808"/>
          </w:tcPr>
          <w:p>
            <w:pPr>
              <w:pStyle w:val="Compact"/>
              <w:jc w:val="center"/>
            </w:pPr>
            <w:r>
              <w:rPr>
                <w:sz w:val="20"/>
              </w:rPr>
              <w:t xml:space="preserve">◑</w:t>
            </w:r>
          </w:p>
        </w:tc>
      </w:tr>
    </w:tbl>
    <w:p>
      <w:pPr>
        <w:pStyle w:val="BodyText"/>
      </w:pPr>
      <w:r>
        <w:rPr>
          <w:bCs/>
          <w:b/>
        </w:rPr>
        <w:t xml:space="preserve">Historical outcome comparison (dimensions are not interchangeable)</w:t>
      </w:r>
    </w:p>
    <w:tbl>
      <w:tblPr>
        <w:tblStyle w:val="Table"/>
        <w:tblW w:type="pct" w:w="5000"/>
        <w:tblLook w:firstRow="1" w:lastRow="0" w:firstColumn="0" w:lastColumn="0" w:noHBand="0" w:noVBand="0" w:val="0020"/>
        <w:jc w:val="start"/>
        <w:tblLayout w:type="autofit"/>
      </w:tblPr>
      <w:tblGrid>
        <w:gridCol w:w="1584"/>
        <w:gridCol w:w="1584"/>
        <w:gridCol w:w="1584"/>
        <w:gridCol w:w="1584"/>
        <w:gridCol w:w="1584"/>
      </w:tblGrid>
      <w:tr>
        <w:trPr>
          <w:tblHeader w:val="true"/>
          <w:cantSplit/>
        </w:trPr>
        <w:tc>
          <w:tcPr>
            <w:tcW w:type="pct" w:w="1000"/>
          </w:tcPr>
          <w:p>
            <w:pPr>
              <w:pStyle w:val="Compact"/>
              <w:jc w:val="left"/>
            </w:pPr>
            <w:r>
              <w:rPr>
                <w:b/>
                <w:sz w:val="20"/>
              </w:rPr>
              <w:t xml:space="preserve">Episode</w:t>
            </w:r>
          </w:p>
        </w:tc>
        <w:tc>
          <w:tcPr>
            <w:tcW w:type="pct" w:w="1000"/>
          </w:tcPr>
          <w:p>
            <w:pPr>
              <w:pStyle w:val="Compact"/>
              <w:jc w:val="left"/>
            </w:pPr>
            <w:r>
              <w:rPr>
                <w:b/>
                <w:sz w:val="20"/>
              </w:rPr>
              <w:t xml:space="preserve">Access</w:t>
            </w:r>
          </w:p>
        </w:tc>
        <w:tc>
          <w:tcPr>
            <w:tcW w:type="pct" w:w="1000"/>
          </w:tcPr>
          <w:p>
            <w:pPr>
              <w:pStyle w:val="Compact"/>
              <w:jc w:val="left"/>
            </w:pPr>
            <w:r>
              <w:rPr>
                <w:b/>
                <w:sz w:val="20"/>
              </w:rPr>
              <w:t xml:space="preserve">Policy change</w:t>
            </w:r>
          </w:p>
        </w:tc>
        <w:tc>
          <w:tcPr>
            <w:tcW w:type="pct" w:w="1000"/>
          </w:tcPr>
          <w:p>
            <w:pPr>
              <w:pStyle w:val="Compact"/>
              <w:jc w:val="left"/>
            </w:pPr>
            <w:r>
              <w:rPr>
                <w:b/>
                <w:sz w:val="20"/>
              </w:rPr>
              <w:t xml:space="preserve">Institutional durability</w:t>
            </w:r>
          </w:p>
        </w:tc>
        <w:tc>
          <w:tcPr>
            <w:tcW w:type="pct" w:w="1000"/>
          </w:tcPr>
          <w:p>
            <w:pPr>
              <w:pStyle w:val="Compact"/>
              <w:jc w:val="left"/>
            </w:pPr>
            <w:r>
              <w:rPr>
                <w:b/>
                <w:sz w:val="20"/>
              </w:rPr>
              <w:t xml:space="preserve">Individual sanctions</w:t>
            </w:r>
          </w:p>
        </w:tc>
      </w:tr>
      <w:tr>
        <w:trPr>
          <w:cantSplit/>
        </w:trPr>
        <w:tc>
          <w:tcPr>
            <w:tcW w:type="pct" w:w="1000"/>
          </w:tcPr>
          <w:p>
            <w:pPr>
              <w:pStyle w:val="Compact"/>
              <w:jc w:val="left"/>
            </w:pPr>
            <w:r>
              <w:rPr>
                <w:sz w:val="20"/>
              </w:rPr>
              <w:t xml:space="preserve">Pike and Church</w:t>
            </w:r>
          </w:p>
        </w:tc>
        <w:tc>
          <w:tcPr>
            <w:tcW w:type="pct" w:w="1000"/>
          </w:tcPr>
          <w:p>
            <w:pPr>
              <w:pStyle w:val="Compact"/>
              <w:jc w:val="left"/>
            </w:pPr>
            <w:r>
              <w:rPr>
                <w:sz w:val="20"/>
              </w:rPr>
              <w:t xml:space="preserve">Extensive inquiry; official publication of Pike’s report barred by the House; Church published substantial findings, twice over presidential objection</w:t>
            </w:r>
          </w:p>
        </w:tc>
        <w:tc>
          <w:tcPr>
            <w:tcW w:type="pct" w:w="1000"/>
          </w:tcPr>
          <w:p>
            <w:pPr>
              <w:pStyle w:val="Compact"/>
              <w:jc w:val="left"/>
            </w:pPr>
            <w:r>
              <w:rPr>
                <w:sz w:val="20"/>
              </w:rPr>
              <w:t xml:space="preserve">Reform followed the investigations</w:t>
            </w:r>
          </w:p>
        </w:tc>
        <w:tc>
          <w:tcPr>
            <w:tcW w:type="pct" w:w="1000"/>
          </w:tcPr>
          <w:p>
            <w:pPr>
              <w:pStyle w:val="Compact"/>
              <w:jc w:val="left"/>
            </w:pPr>
            <w:r>
              <w:rPr>
                <w:sz w:val="20"/>
              </w:rPr>
              <w:t xml:space="preserve">SSCI/HPSCI and FISA endured; causal attribution is shared with the broader reform coalition</w:t>
            </w:r>
          </w:p>
        </w:tc>
        <w:tc>
          <w:tcPr>
            <w:tcW w:type="pct" w:w="1000"/>
          </w:tcPr>
          <w:p>
            <w:pPr>
              <w:pStyle w:val="Compact"/>
              <w:jc w:val="left"/>
            </w:pPr>
            <w:r>
              <w:rPr>
                <w:sz w:val="20"/>
              </w:rPr>
              <w:t xml:space="preserve">Helms plea and fine survived; Felt and Miller pardoned</w:t>
            </w:r>
          </w:p>
        </w:tc>
      </w:tr>
      <w:tr>
        <w:trPr>
          <w:cantSplit/>
        </w:trPr>
        <w:tc>
          <w:tcPr>
            <w:tcW w:type="pct" w:w="1000"/>
          </w:tcPr>
          <w:p>
            <w:pPr>
              <w:pStyle w:val="Compact"/>
              <w:jc w:val="left"/>
            </w:pPr>
            <w:r>
              <w:rPr>
                <w:sz w:val="20"/>
              </w:rPr>
              <w:t xml:space="preserve">Iran-Contra</w:t>
            </w:r>
          </w:p>
        </w:tc>
        <w:tc>
          <w:tcPr>
            <w:tcW w:type="pct" w:w="1000"/>
          </w:tcPr>
          <w:p>
            <w:pPr>
              <w:pStyle w:val="Compact"/>
              <w:jc w:val="left"/>
            </w:pPr>
            <w:r>
              <w:rPr>
                <w:sz w:val="20"/>
              </w:rPr>
              <w:t xml:space="preserve">Extensive compelled, immunized testimony; contemporaneous notes withheld until 1991–92 and documents destroyed</w:t>
            </w:r>
          </w:p>
        </w:tc>
        <w:tc>
          <w:tcPr>
            <w:tcW w:type="pct" w:w="1000"/>
          </w:tcPr>
          <w:p>
            <w:pPr>
              <w:pStyle w:val="Compact"/>
              <w:jc w:val="left"/>
            </w:pPr>
            <w:r>
              <w:rPr>
                <w:sz w:val="20"/>
              </w:rPr>
              <w:t xml:space="preserve">1991 Act: written, non-retroactive findings; covert action defined;</w:t>
            </w:r>
            <w:r>
              <w:rPr>
                <w:sz w:val="20"/>
              </w:rPr>
              <w:t xml:space="preserve"> </w:t>
            </w:r>
            <w:r>
              <w:rPr>
                <w:sz w:val="20"/>
              </w:rPr>
              <w:t xml:space="preserve">“</w:t>
            </w:r>
            <w:r>
              <w:rPr>
                <w:sz w:val="20"/>
              </w:rPr>
              <w:t xml:space="preserve">timely</w:t>
            </w:r>
            <w:r>
              <w:rPr>
                <w:sz w:val="20"/>
              </w:rPr>
              <w:t xml:space="preserve">”</w:t>
            </w:r>
            <w:r>
              <w:rPr>
                <w:sz w:val="20"/>
              </w:rPr>
              <w:t xml:space="preserve"> </w:t>
            </w:r>
            <w:r>
              <w:rPr>
                <w:sz w:val="20"/>
              </w:rPr>
              <w:t xml:space="preserve">notice kept with a recorded few-days commitment; statutory CIA inspector general (1989)</w:t>
            </w:r>
            <w:r>
              <w:rPr>
                <w:sz w:val="20"/>
                <w:vertAlign w:val="superscript"/>
              </w:rPr>
              <w:t xml:space="preserve">see n. 56</w:t>
            </w:r>
          </w:p>
        </w:tc>
        <w:tc>
          <w:tcPr>
            <w:tcW w:type="pct" w:w="1000"/>
          </w:tcPr>
          <w:p>
            <w:pPr>
              <w:pStyle w:val="Compact"/>
              <w:jc w:val="left"/>
            </w:pPr>
            <w:r>
              <w:rPr>
                <w:sz w:val="20"/>
              </w:rPr>
              <w:t xml:space="preserve">Investigation documented evasion; the statutory floor moved while the discretion claim survived</w:t>
            </w:r>
          </w:p>
        </w:tc>
        <w:tc>
          <w:tcPr>
            <w:tcW w:type="pct" w:w="1000"/>
          </w:tcPr>
          <w:p>
            <w:pPr>
              <w:pStyle w:val="Compact"/>
              <w:jc w:val="left"/>
            </w:pPr>
            <w:r>
              <w:rPr>
                <w:sz w:val="20"/>
              </w:rPr>
              <w:t xml:space="preserve">Fourteen charged, eleven convictions in Walsh’s accounting; reversals and pardons had differing effects</w:t>
            </w:r>
          </w:p>
        </w:tc>
      </w:tr>
      <w:tr>
        <w:trPr>
          <w:cantSplit/>
        </w:trPr>
        <w:tc>
          <w:tcPr>
            <w:tcW w:type="pct" w:w="1000"/>
          </w:tcPr>
          <w:p>
            <w:pPr>
              <w:pStyle w:val="Compact"/>
              <w:jc w:val="left"/>
            </w:pPr>
            <w:r>
              <w:rPr>
                <w:sz w:val="20"/>
              </w:rPr>
              <w:t xml:space="preserve">NSA bulk collection</w:t>
            </w:r>
          </w:p>
        </w:tc>
        <w:tc>
          <w:tcPr>
            <w:tcW w:type="pct" w:w="1000"/>
          </w:tcPr>
          <w:p>
            <w:pPr>
              <w:pStyle w:val="Compact"/>
              <w:jc w:val="left"/>
            </w:pPr>
            <w:r>
              <w:rPr>
                <w:sz w:val="20"/>
              </w:rPr>
              <w:t xml:space="preserve">Member briefings constrained; public access expanded after leaks</w:t>
            </w:r>
          </w:p>
        </w:tc>
        <w:tc>
          <w:tcPr>
            <w:tcW w:type="pct" w:w="1000"/>
          </w:tcPr>
          <w:p>
            <w:pPr>
              <w:pStyle w:val="Compact"/>
              <w:jc w:val="left"/>
            </w:pPr>
            <w:r>
              <w:rPr>
                <w:sz w:val="20"/>
              </w:rPr>
              <w:t xml:space="preserve">USA FREEDOM ended Section 215 bulk collection</w:t>
            </w:r>
          </w:p>
        </w:tc>
        <w:tc>
          <w:tcPr>
            <w:tcW w:type="pct" w:w="1000"/>
          </w:tcPr>
          <w:p>
            <w:pPr>
              <w:pStyle w:val="Compact"/>
              <w:jc w:val="left"/>
            </w:pPr>
            <w:r>
              <w:rPr>
                <w:sz w:val="20"/>
              </w:rPr>
              <w:t xml:space="preserve">Statutory and judicial constraints were real though narrower than the whole surveillance system</w:t>
            </w:r>
          </w:p>
        </w:tc>
        <w:tc>
          <w:tcPr>
            <w:tcW w:type="pct" w:w="1000"/>
          </w:tcPr>
          <w:p>
            <w:pPr>
              <w:pStyle w:val="Compact"/>
              <w:jc w:val="left"/>
            </w:pPr>
            <w:r>
              <w:rPr>
                <w:sz w:val="20"/>
              </w:rPr>
              <w:t xml:space="preserve">Member requests concerning Clapper acknowledged; no charge established</w:t>
            </w:r>
          </w:p>
        </w:tc>
      </w:tr>
      <w:tr>
        <w:trPr>
          <w:cantSplit/>
        </w:trPr>
        <w:tc>
          <w:tcPr>
            <w:tcW w:type="pct" w:w="1000"/>
          </w:tcPr>
          <w:p>
            <w:pPr>
              <w:pStyle w:val="Compact"/>
              <w:jc w:val="left"/>
            </w:pPr>
            <w:r>
              <w:rPr>
                <w:sz w:val="20"/>
              </w:rPr>
              <w:t xml:space="preserve">CIA Interrogation Program</w:t>
            </w:r>
          </w:p>
        </w:tc>
        <w:tc>
          <w:tcPr>
            <w:tcW w:type="pct" w:w="1000"/>
          </w:tcPr>
          <w:p>
            <w:pPr>
              <w:pStyle w:val="Compact"/>
              <w:jc w:val="left"/>
            </w:pPr>
            <w:r>
              <w:rPr>
                <w:sz w:val="20"/>
              </w:rPr>
              <w:t xml:space="preserve">Six million pages reviewed; executive summary public; full study withheld; committee access widened only on the President’s 2006 acknowledgment</w:t>
            </w:r>
          </w:p>
        </w:tc>
        <w:tc>
          <w:tcPr>
            <w:tcW w:type="pct" w:w="1000"/>
          </w:tcPr>
          <w:p>
            <w:pPr>
              <w:pStyle w:val="Compact"/>
              <w:jc w:val="left"/>
            </w:pPr>
            <w:r>
              <w:rPr>
                <w:sz w:val="20"/>
              </w:rPr>
              <w:t xml:space="preserve">Detainee Treatment Act of 2005, after which the interrogation techniques were only paused; sequel: FY2016 NDAA anti-torture restrictions</w:t>
            </w:r>
          </w:p>
        </w:tc>
        <w:tc>
          <w:tcPr>
            <w:tcW w:type="pct" w:w="1000"/>
          </w:tcPr>
          <w:p>
            <w:pPr>
              <w:pStyle w:val="Compact"/>
              <w:jc w:val="left"/>
            </w:pPr>
            <w:r>
              <w:rPr>
                <w:sz w:val="20"/>
              </w:rPr>
              <w:t xml:space="preserve">Study and statutory restrictions are durable outputs</w:t>
            </w:r>
          </w:p>
        </w:tc>
        <w:tc>
          <w:tcPr>
            <w:tcW w:type="pct" w:w="1000"/>
          </w:tcPr>
          <w:p>
            <w:pPr>
              <w:pStyle w:val="Compact"/>
              <w:jc w:val="left"/>
            </w:pPr>
            <w:r>
              <w:rPr>
                <w:sz w:val="20"/>
              </w:rPr>
              <w:t xml:space="preserve">Durham closed without charges; disciplinary findings reduced; a statutory defense for personnel (2005) and a retroactive redefinition of the war-crimes offense (2006)</w:t>
            </w:r>
          </w:p>
        </w:tc>
      </w:tr>
      <w:tr>
        <w:trPr>
          <w:cantSplit/>
        </w:trPr>
        <w:tc>
          <w:tcPr>
            <w:tcW w:type="pct" w:w="1000"/>
          </w:tcPr>
          <w:p>
            <w:pPr>
              <w:pStyle w:val="Compact"/>
              <w:jc w:val="left"/>
            </w:pPr>
            <w:r>
              <w:rPr>
                <w:sz w:val="20"/>
              </w:rPr>
              <w:t xml:space="preserve">Watergate tapes (contrast)</w:t>
            </w:r>
          </w:p>
        </w:tc>
        <w:tc>
          <w:tcPr>
            <w:tcW w:type="pct" w:w="1000"/>
          </w:tcPr>
          <w:p>
            <w:pPr>
              <w:pStyle w:val="Compact"/>
              <w:jc w:val="left"/>
            </w:pPr>
            <w:r>
              <w:rPr>
                <w:sz w:val="20"/>
              </w:rPr>
              <w:t xml:space="preserve">Nothing produced to the Senate committee, whose suit was dismissed; the tapes ordered produced on the Special Prosecutor’s trial subpoena, under a Justice Department regulation that insulated him</w:t>
            </w:r>
          </w:p>
        </w:tc>
        <w:tc>
          <w:tcPr>
            <w:tcW w:type="pct" w:w="1000"/>
          </w:tcPr>
          <w:p>
            <w:pPr>
              <w:pStyle w:val="Compact"/>
              <w:jc w:val="left"/>
            </w:pPr>
            <w:r>
              <w:rPr>
                <w:sz w:val="20"/>
              </w:rPr>
              <w:t xml:space="preserve">Sequel: the Ethics in Government Act of 1978, with a court-appointed special prosecutor and the Senate’s civil-enforcement statute (excluding subpoenas to federal officers or employees acting in an official capacity)</w:t>
            </w:r>
          </w:p>
        </w:tc>
        <w:tc>
          <w:tcPr>
            <w:tcW w:type="pct" w:w="1000"/>
          </w:tcPr>
          <w:p>
            <w:pPr>
              <w:pStyle w:val="Compact"/>
              <w:jc w:val="left"/>
            </w:pPr>
            <w:r>
              <w:rPr>
                <w:sz w:val="20"/>
              </w:rPr>
              <w:t xml:space="preserve">A holding that a generalized privilege claim yields to a demonstrated need for evidence in a criminal trial, which reserved congressional demands and national-security secrets</w:t>
            </w:r>
            <w:r>
              <w:rPr>
                <w:sz w:val="20"/>
                <w:vertAlign w:val="superscript"/>
              </w:rPr>
              <w:t xml:space="preserve">see n. 33</w:t>
            </w:r>
          </w:p>
        </w:tc>
        <w:tc>
          <w:tcPr>
            <w:tcW w:type="pct" w:w="1000"/>
          </w:tcPr>
          <w:p>
            <w:pPr>
              <w:pStyle w:val="Compact"/>
              <w:jc w:val="left"/>
            </w:pPr>
            <w:r>
              <w:rPr>
                <w:sz w:val="20"/>
              </w:rPr>
              <w:t xml:space="preserve">President resigned and was pardoned; Haldeman, Ehrlichman, and Mitchell convicted and sentenced to imprisonment</w:t>
            </w:r>
          </w:p>
        </w:tc>
      </w:tr>
    </w:tbl>
    <w:p>
      <w:pPr>
        <w:pStyle w:val="BodyText"/>
      </w:pPr>
      <w:r>
        <w:t xml:space="preserve">These outcomes qualify any failure thesis. Negotiation can produce effective oversight on access and policy without producing criminal sanctions, and the absence of prosecution does not cancel the other gains.</w:t>
      </w:r>
    </w:p>
    <w:p>
      <w:r>
        <w:pict>
          <v:rect style="width:0;height:1.5pt" o:hralign="center" o:hrstd="t" o:hr="t"/>
        </w:pict>
      </w:r>
    </w:p>
    <w:bookmarkEnd w:id="101"/>
    <w:bookmarkEnd w:id="102"/>
    <w:bookmarkStart w:id="158" w:name="contemporary-congruence-assessment-efta"/>
    <w:p>
      <w:pPr>
        <w:pStyle w:val="Heading2"/>
      </w:pPr>
      <w:r>
        <w:t xml:space="preserve">Contemporary Congruence Assessment: EFTA</w:t>
      </w:r>
    </w:p>
    <w:p>
      <w:pPr>
        <w:pStyle w:val="FirstParagraph"/>
      </w:pPr>
      <w:r>
        <w:t xml:space="preserve">Corpus-derived figures in this section and Appendix A refer to the records measured as of August 30, 2026; event-specific dates below keep their narrower scope.</w:t>
      </w:r>
    </w:p>
    <w:p>
      <w:pPr>
        <w:pStyle w:val="BodyText"/>
      </w:pPr>
      <w:r>
        <w:t xml:space="preserve">EFTA is a DOJ records-disclosure case. Its inclusion rests on executive custody of records and control of the initial release process, not on any intelligence operation in the underlying matter. It therefore tries the bargaining vocabulary outside its original classified-policy setting, with the limits that extension entails.</w:t>
      </w:r>
    </w:p>
    <w:p>
      <w:pPr>
        <w:pStyle w:val="BodyText"/>
      </w:pPr>
      <w:r>
        <w:t xml:space="preserve">EFTA imposes unusually express disclosure duties. Section 2(a) requires the Attorney General,</w:t>
      </w:r>
      <w:r>
        <w:t xml:space="preserve"> </w:t>
      </w:r>
      <w:r>
        <w:t xml:space="preserve">“</w:t>
      </w:r>
      <w:r>
        <w:t xml:space="preserve">subject to subsection (b),</w:t>
      </w:r>
      <w:r>
        <w:t xml:space="preserve">”</w:t>
      </w:r>
      <w:r>
        <w:t xml:space="preserve"> </w:t>
      </w:r>
      <w:r>
        <w:t xml:space="preserve">to publish within 30 days all unclassified records in the Department’s possession on nine subjects, including internal communications about charging decisions (§ 2(a)(7)). Subsection (b), headed</w:t>
      </w:r>
      <w:r>
        <w:t xml:space="preserve"> </w:t>
      </w:r>
      <w:r>
        <w:t xml:space="preserve">“</w:t>
      </w:r>
      <w:r>
        <w:t xml:space="preserve">Prohibited Grounds for Withholding,</w:t>
      </w:r>
      <w:r>
        <w:t xml:space="preserve">”</w:t>
      </w:r>
      <w:r>
        <w:t xml:space="preserve"> </w:t>
      </w:r>
      <w:r>
        <w:t xml:space="preserve">bars withholding, delay, or redaction</w:t>
      </w:r>
      <w:r>
        <w:t xml:space="preserve"> </w:t>
      </w:r>
      <w:r>
        <w:t xml:space="preserve">“</w:t>
      </w:r>
      <w:r>
        <w:t xml:space="preserve">on the basis of embarrassment, reputational harm, or political sensitivity, including to any government official, public figure, or foreign dignitary</w:t>
      </w:r>
      <w:r>
        <w:t xml:space="preserve">”</w:t>
      </w:r>
      <w:r>
        <w:t xml:space="preserve"> </w:t>
      </w:r>
      <w:r>
        <w:t xml:space="preserve">(§ 2(b)(1)). Section 2(c), headed</w:t>
      </w:r>
      <w:r>
        <w:t xml:space="preserve"> </w:t>
      </w:r>
      <w:r>
        <w:t xml:space="preserve">“</w:t>
      </w:r>
      <w:r>
        <w:t xml:space="preserve">Permitted Withholdings,</w:t>
      </w:r>
      <w:r>
        <w:t xml:space="preserve">”</w:t>
      </w:r>
      <w:r>
        <w:t xml:space="preserve"> </w:t>
      </w:r>
      <w:r>
        <w:t xml:space="preserve">is permissive and limited: the Attorney General</w:t>
      </w:r>
      <w:r>
        <w:t xml:space="preserve"> </w:t>
      </w:r>
      <w:r>
        <w:t xml:space="preserve">“</w:t>
      </w:r>
      <w:r>
        <w:t xml:space="preserve">may withhold or redact the segregable portions of records that</w:t>
      </w:r>
      <w:r>
        <w:t xml:space="preserve">”</w:t>
      </w:r>
      <w:r>
        <w:t xml:space="preserve"> </w:t>
      </w:r>
      <w:r>
        <w:t xml:space="preserve">fall in five classes (§ 2(c)(1); Table 8). Section 2(c)(2) states that all redactions must be accompanied by a written justification published in the Federal Register and submitted to Congress; it sets no deadline and prescribes no Bates-level entries or segregability findings. Section 2(c)(4) requires publication of classification decisions after July 1, 2025. The itemized-accounting construction below is the author’s analysis, not statutory language or a holding.</w:t>
      </w:r>
    </w:p>
    <w:p>
      <w:pPr>
        <w:pStyle w:val="BodyText"/>
      </w:pPr>
      <w:r>
        <w:rPr>
          <w:bCs/>
          <w:b/>
        </w:rPr>
        <w:t xml:space="preserve">Table 8. Permitted Withholdings Under EFTA Section 2(c)(1)</w:t>
      </w:r>
    </w:p>
    <w:tbl>
      <w:tblPr>
        <w:tblStyle w:val="Table"/>
        <w:tblW w:type="pct" w:w="5000"/>
        <w:tblLook w:firstRow="1" w:lastRow="0" w:firstColumn="0" w:lastColumn="0" w:noHBand="0" w:noVBand="0" w:val="0020"/>
        <w:jc w:val="start"/>
        <w:tblLayout w:type="autofit"/>
      </w:tblPr>
      <w:tblGrid>
        <w:gridCol w:w="3960"/>
        <w:gridCol w:w="3960"/>
      </w:tblGrid>
      <w:tr>
        <w:trPr>
          <w:tblHeader w:val="true"/>
          <w:cantSplit/>
        </w:trPr>
        <w:tc>
          <w:tcPr>
            <w:tcW w:type="pct" w:w="2500"/>
          </w:tcPr>
          <w:p>
            <w:pPr>
              <w:keepNext/>
              <w:pStyle w:val="Compact"/>
              <w:jc w:val="left"/>
            </w:pPr>
            <w:r>
              <w:rPr>
                <w:b/>
                <w:sz w:val="20"/>
              </w:rPr>
              <w:t xml:space="preserve">Section 2(c)(1) class</w:t>
            </w:r>
          </w:p>
        </w:tc>
        <w:tc>
          <w:tcPr>
            <w:tcW w:type="pct" w:w="2500"/>
          </w:tcPr>
          <w:p>
            <w:pPr>
              <w:keepNext/>
              <w:pStyle w:val="Compact"/>
              <w:jc w:val="left"/>
            </w:pPr>
            <w:r>
              <w:rPr>
                <w:b/>
                <w:sz w:val="20"/>
              </w:rPr>
              <w:t xml:space="preserve">The Attorney General</w:t>
            </w:r>
            <w:r>
              <w:rPr>
                <w:b/>
                <w:sz w:val="20"/>
              </w:rPr>
              <w:t xml:space="preserve"> </w:t>
            </w:r>
            <w:r>
              <w:rPr>
                <w:b/>
                <w:sz w:val="20"/>
              </w:rPr>
              <w:t xml:space="preserve">“</w:t>
            </w:r>
            <w:r>
              <w:rPr>
                <w:b/>
                <w:sz w:val="20"/>
              </w:rPr>
              <w:t xml:space="preserve">may withhold or redact the segregable portions of records that</w:t>
            </w:r>
            <w:r>
              <w:rPr>
                <w:b/>
                <w:sz w:val="20"/>
              </w:rPr>
              <w:t xml:space="preserve">”</w:t>
            </w:r>
            <w:r>
              <w:rPr>
                <w:b/>
                <w:sz w:val="20"/>
              </w:rPr>
              <w:t xml:space="preserve">*</w:t>
            </w:r>
          </w:p>
        </w:tc>
      </w:tr>
      <w:tr>
        <w:trPr>
          <w:cantSplit/>
        </w:trPr>
        <w:tc>
          <w:tcPr>
            <w:tcW w:type="pct" w:w="2500"/>
          </w:tcPr>
          <w:p>
            <w:pPr>
              <w:keepNext/>
              <w:pStyle w:val="Compact"/>
              <w:jc w:val="left"/>
            </w:pPr>
            <w:r>
              <w:rPr>
                <w:sz w:val="20"/>
              </w:rPr>
              <w:t xml:space="preserve">(A)</w:t>
            </w:r>
          </w:p>
        </w:tc>
        <w:tc>
          <w:tcPr>
            <w:tcW w:type="pct" w:w="2500"/>
          </w:tcPr>
          <w:p>
            <w:pPr>
              <w:keepNext/>
              <w:pStyle w:val="Compact"/>
              <w:jc w:val="left"/>
            </w:pPr>
            <w:r>
              <w:rPr>
                <w:sz w:val="20"/>
              </w:rPr>
              <w:t xml:space="preserve">personally identifiable information of victims, or victims’ personal, medical, and similar files whose disclosure would be a clearly unwarranted invasion of personal privacy</w:t>
            </w:r>
          </w:p>
        </w:tc>
      </w:tr>
      <w:tr>
        <w:trPr>
          <w:cantSplit/>
        </w:trPr>
        <w:tc>
          <w:tcPr>
            <w:tcW w:type="pct" w:w="2500"/>
          </w:tcPr>
          <w:p>
            <w:pPr>
              <w:keepNext/>
              <w:pStyle w:val="Compact"/>
              <w:jc w:val="left"/>
            </w:pPr>
            <w:r>
              <w:rPr>
                <w:sz w:val="20"/>
              </w:rPr>
              <w:t xml:space="preserve">(B)</w:t>
            </w:r>
          </w:p>
        </w:tc>
        <w:tc>
          <w:tcPr>
            <w:tcW w:type="pct" w:w="2500"/>
          </w:tcPr>
          <w:p>
            <w:pPr>
              <w:keepNext/>
              <w:pStyle w:val="Compact"/>
              <w:jc w:val="left"/>
            </w:pPr>
            <w:r>
              <w:rPr>
                <w:sz w:val="20"/>
              </w:rPr>
              <w:t xml:space="preserve">records that depict or contain child sexual abuse materials (CSAM) as defined under 18 U.S.C. § 2256 and prohibited under 18 U.S.C. §§ 2252–2252A</w:t>
            </w:r>
          </w:p>
        </w:tc>
      </w:tr>
      <w:tr>
        <w:trPr>
          <w:cantSplit/>
        </w:trPr>
        <w:tc>
          <w:tcPr>
            <w:tcW w:type="pct" w:w="2500"/>
          </w:tcPr>
          <w:p>
            <w:pPr>
              <w:keepNext/>
              <w:pStyle w:val="Compact"/>
              <w:jc w:val="left"/>
            </w:pPr>
            <w:r>
              <w:rPr>
                <w:sz w:val="20"/>
              </w:rPr>
              <w:t xml:space="preserve">(C)</w:t>
            </w:r>
          </w:p>
        </w:tc>
        <w:tc>
          <w:tcPr>
            <w:tcW w:type="pct" w:w="2500"/>
          </w:tcPr>
          <w:p>
            <w:pPr>
              <w:keepNext/>
              <w:pStyle w:val="Compact"/>
              <w:jc w:val="left"/>
            </w:pPr>
            <w:r>
              <w:rPr>
                <w:sz w:val="20"/>
              </w:rPr>
              <w:t xml:space="preserve">material whose release would jeopardize an active federal investigation or ongoing prosecution, with withholding narrowly tailored and temporary</w:t>
            </w:r>
          </w:p>
        </w:tc>
      </w:tr>
      <w:tr>
        <w:trPr>
          <w:cantSplit/>
        </w:trPr>
        <w:tc>
          <w:tcPr>
            <w:tcW w:type="pct" w:w="2500"/>
          </w:tcPr>
          <w:p>
            <w:pPr>
              <w:keepNext/>
              <w:pStyle w:val="Compact"/>
              <w:jc w:val="left"/>
            </w:pPr>
            <w:r>
              <w:rPr>
                <w:sz w:val="20"/>
              </w:rPr>
              <w:t xml:space="preserve">(D)</w:t>
            </w:r>
          </w:p>
        </w:tc>
        <w:tc>
          <w:tcPr>
            <w:tcW w:type="pct" w:w="2500"/>
          </w:tcPr>
          <w:p>
            <w:pPr>
              <w:keepNext/>
              <w:pStyle w:val="Compact"/>
              <w:jc w:val="left"/>
            </w:pPr>
            <w:r>
              <w:rPr>
                <w:sz w:val="20"/>
              </w:rPr>
              <w:t xml:space="preserve">images depicting or containing the death, physical abuse, or injury of any person</w:t>
            </w:r>
          </w:p>
        </w:tc>
      </w:tr>
      <w:tr>
        <w:trPr>
          <w:cantSplit/>
        </w:trPr>
        <w:tc>
          <w:tcPr>
            <w:tcW w:type="pct" w:w="2500"/>
          </w:tcPr>
          <w:p>
            <w:pPr>
              <w:pStyle w:val="Compact"/>
              <w:jc w:val="left"/>
            </w:pPr>
            <w:r>
              <w:rPr>
                <w:sz w:val="20"/>
              </w:rPr>
              <w:t xml:space="preserve">(E)</w:t>
            </w:r>
          </w:p>
        </w:tc>
        <w:tc>
          <w:tcPr>
            <w:tcW w:type="pct" w:w="2500"/>
          </w:tcPr>
          <w:p>
            <w:pPr>
              <w:pStyle w:val="Compact"/>
              <w:jc w:val="left"/>
            </w:pPr>
            <w:r>
              <w:rPr>
                <w:sz w:val="20"/>
              </w:rPr>
              <w:t xml:space="preserve">information specifically authorized under criteria established by an Executive order to be kept secret in the interest of national defense or foreign policy and in fact properly classified pursuant to that order</w:t>
            </w:r>
          </w:p>
        </w:tc>
      </w:tr>
    </w:tbl>
    <w:p>
      <w:pPr>
        <w:pStyle w:val="BodyText"/>
      </w:pPr>
      <w:r>
        <w:t xml:space="preserve">* The word</w:t>
      </w:r>
      <w:r>
        <w:t xml:space="preserve"> </w:t>
      </w:r>
      <w:r>
        <w:t xml:space="preserve">“</w:t>
      </w:r>
      <w:r>
        <w:t xml:space="preserve">that</w:t>
      </w:r>
      <w:r>
        <w:t xml:space="preserve">”</w:t>
      </w:r>
      <w:r>
        <w:t xml:space="preserve"> </w:t>
      </w:r>
      <w:r>
        <w:t xml:space="preserve">can attach to</w:t>
      </w:r>
      <w:r>
        <w:t xml:space="preserve"> </w:t>
      </w:r>
      <w:r>
        <w:t xml:space="preserve">“</w:t>
      </w:r>
      <w:r>
        <w:t xml:space="preserve">records</w:t>
      </w:r>
      <w:r>
        <w:t xml:space="preserve">”</w:t>
      </w:r>
      <w:r>
        <w:t xml:space="preserve"> </w:t>
      </w:r>
      <w:r>
        <w:t xml:space="preserve">or to</w:t>
      </w:r>
      <w:r>
        <w:t xml:space="preserve"> </w:t>
      </w:r>
      <w:r>
        <w:t xml:space="preserve">“</w:t>
      </w:r>
      <w:r>
        <w:t xml:space="preserve">portions.</w:t>
      </w:r>
      <w:r>
        <w:t xml:space="preserve">”</w:t>
      </w:r>
      <w:r>
        <w:t xml:space="preserve"> </w:t>
      </w:r>
      <w:r>
        <w:t xml:space="preserve">This table adopts the narrower reading, under which only the portions containing the listed matter may be withheld; the reviewed record does not show the Department claiming the broader one.</w:t>
      </w:r>
    </w:p>
    <w:p>
      <w:pPr>
        <w:pStyle w:val="BodyText"/>
      </w:pPr>
      <w:r>
        <w:t xml:space="preserve">Section 3 requires a report to the House and Senate Judiciary Committees within 15 days of</w:t>
      </w:r>
      <w:r>
        <w:t xml:space="preserve"> </w:t>
      </w:r>
      <w:r>
        <w:t xml:space="preserve">“</w:t>
      </w:r>
      <w:r>
        <w:t xml:space="preserve">completion of the release,</w:t>
      </w:r>
      <w:r>
        <w:t xml:space="preserve">”</w:t>
      </w:r>
      <w:r>
        <w:t xml:space="preserve"> </w:t>
      </w:r>
      <w:r>
        <w:t xml:space="preserve">listing the categories of records released and withheld, a summary of redactions with legal basis, and the government officials and</w:t>
      </w:r>
      <w:r>
        <w:t xml:space="preserve"> </w:t>
      </w:r>
      <w:r>
        <w:t xml:space="preserve">“</w:t>
      </w:r>
      <w:r>
        <w:t xml:space="preserve">politically exposed persons</w:t>
      </w:r>
      <w:r>
        <w:t xml:space="preserve">”</w:t>
      </w:r>
      <w:r>
        <w:t xml:space="preserve"> </w:t>
      </w:r>
      <w:r>
        <w:t xml:space="preserve">named in the released materials. The Act defines neither</w:t>
      </w:r>
      <w:r>
        <w:t xml:space="preserve"> </w:t>
      </w:r>
      <w:r>
        <w:t xml:space="preserve">“</w:t>
      </w:r>
      <w:r>
        <w:t xml:space="preserve">completion</w:t>
      </w:r>
      <w:r>
        <w:t xml:space="preserve">”</w:t>
      </w:r>
      <w:r>
        <w:t xml:space="preserve"> </w:t>
      </w:r>
      <w:r>
        <w:t xml:space="preserve">nor</w:t>
      </w:r>
      <w:r>
        <w:t xml:space="preserve"> </w:t>
      </w:r>
      <w:r>
        <w:t xml:space="preserve">“</w:t>
      </w:r>
      <w:r>
        <w:t xml:space="preserve">politically exposed persons,</w:t>
      </w:r>
      <w:r>
        <w:t xml:space="preserve">”</w:t>
      </w:r>
      <w:r>
        <w:t xml:space="preserve"> </w:t>
      </w:r>
      <w:r>
        <w:t xml:space="preserve">and it has no enforcement or definitions section (Appendix C, Table C.1). It passed the House 427–1 and the Senate by unanimous consent.</w:t>
      </w:r>
      <w:r>
        <w:rPr>
          <w:rStyle w:val="FootnoteReference"/>
        </w:rPr>
        <w:footnoteReference w:id="103"/>
      </w:r>
    </w:p>
    <w:bookmarkStart w:id="105" w:name="the-scandal"/>
    <w:p>
      <w:pPr>
        <w:pStyle w:val="Heading3"/>
      </w:pPr>
      <w:r>
        <w:t xml:space="preserve">The Scandal</w:t>
      </w:r>
    </w:p>
    <w:p>
      <w:pPr>
        <w:pStyle w:val="FirstParagraph"/>
      </w:pPr>
      <w:r>
        <w:t xml:space="preserve">The Epstein matter reached EFTA through an external disclosure, as in the historical cases: Julie K. Brown’s</w:t>
      </w:r>
      <w:r>
        <w:t xml:space="preserve"> </w:t>
      </w:r>
      <w:r>
        <w:rPr>
          <w:iCs/>
          <w:i/>
        </w:rPr>
        <w:t xml:space="preserve">Miami Herald</w:t>
      </w:r>
      <w:r>
        <w:t xml:space="preserve"> </w:t>
      </w:r>
      <w:r>
        <w:t xml:space="preserve">series</w:t>
      </w:r>
      <w:r>
        <w:t xml:space="preserve"> </w:t>
      </w:r>
      <w:r>
        <w:t xml:space="preserve">“</w:t>
      </w:r>
      <w:r>
        <w:t xml:space="preserve">Perversion of Justice,</w:t>
      </w:r>
      <w:r>
        <w:t xml:space="preserve">”</w:t>
      </w:r>
      <w:r>
        <w:t xml:space="preserve"> </w:t>
      </w:r>
      <w:r>
        <w:t xml:space="preserve">whose first installment ran November 28, 2018, re-exposed the 2007–2008 federal non-prosecution agreement and its concealment from the victims. The Department’s professional-responsibility office found that it</w:t>
      </w:r>
      <w:r>
        <w:t xml:space="preserve"> </w:t>
      </w:r>
      <w:r>
        <w:t xml:space="preserve">“</w:t>
      </w:r>
      <w:r>
        <w:t xml:space="preserve">led to public outrage and media scrutiny</w:t>
      </w:r>
      <w:r>
        <w:t xml:space="preserve">”</w:t>
      </w:r>
      <w:r>
        <w:t xml:space="preserve">; the New York indictment followed in July 2019.</w:t>
      </w:r>
      <w:r>
        <w:rPr>
          <w:rStyle w:val="FootnoteReference"/>
        </w:rPr>
        <w:footnoteReference w:id="104"/>
      </w:r>
      <w:r>
        <w:t xml:space="preserve"> </w:t>
      </w:r>
      <w:r>
        <w:t xml:space="preserve">The House floor debate on EFTA (171 Cong. Rec. H4725–H4733, daily ed. Nov. 18, 2025) credited survivors’ advocacy and did not mention the reporting.</w:t>
      </w:r>
    </w:p>
    <w:bookmarkEnd w:id="105"/>
    <w:bookmarkStart w:id="108" w:name="the-congressional-request"/>
    <w:p>
      <w:pPr>
        <w:pStyle w:val="Heading3"/>
      </w:pPr>
      <w:r>
        <w:t xml:space="preserve">The Congressional Request</w:t>
      </w:r>
    </w:p>
    <w:p>
      <w:pPr>
        <w:pStyle w:val="FirstParagraph"/>
      </w:pPr>
      <w:r>
        <w:t xml:space="preserve">The request built in two waves. First, public pressure to release the Epstein files mounted through 2025, and the executive met it with the graduated offers traced below. Second, the demand became statutory, and through Congress’s own machinery: the bill reached the floor after Representative Massie gathered 218 signatures on a discharge petition, which forces a vote the leadership has not scheduled, and EFTA followed on November 19, 2025.</w:t>
      </w:r>
      <w:r>
        <w:rPr>
          <w:rStyle w:val="FootnoteReference"/>
        </w:rPr>
        <w:footnoteReference w:id="106"/>
      </w:r>
      <w:r>
        <w:t xml:space="preserve"> </w:t>
      </w:r>
      <w:r>
        <w:t xml:space="preserve">That is escalation inside the channel.</w:t>
      </w:r>
    </w:p>
    <w:p>
      <w:pPr>
        <w:pStyle w:val="BodyText"/>
      </w:pPr>
      <w:r>
        <w:t xml:space="preserve">EFTA reaches unclassified records</w:t>
      </w:r>
      <w:r>
        <w:t xml:space="preserve"> </w:t>
      </w:r>
      <w:r>
        <w:t xml:space="preserve">“</w:t>
      </w:r>
      <w:r>
        <w:t xml:space="preserve">in the possession of the Department of Justice,</w:t>
      </w:r>
      <w:r>
        <w:t xml:space="preserve">”</w:t>
      </w:r>
      <w:r>
        <w:t xml:space="preserve"> </w:t>
      </w:r>
      <w:r>
        <w:t xml:space="preserve">including the FBI and U.S. Attorneys’ Offices, whoever originated them. Records held only by the CIA or NSA fall outside it; Epstein’s own earlier requests to those agencies drew</w:t>
      </w:r>
      <w:r>
        <w:t xml:space="preserve"> </w:t>
      </w:r>
      <w:r>
        <w:t xml:space="preserve">“</w:t>
      </w:r>
      <w:r>
        <w:t xml:space="preserve">neither-confirm-nor-deny</w:t>
      </w:r>
      <w:r>
        <w:t xml:space="preserve">”</w:t>
      </w:r>
      <w:r>
        <w:t xml:space="preserve"> </w:t>
      </w:r>
      <w:r>
        <w:t xml:space="preserve">(Glomar) responses in 2011 and 2014.</w:t>
      </w:r>
      <w:r>
        <w:rPr>
          <w:rStyle w:val="FootnoteReference"/>
        </w:rPr>
        <w:footnoteReference w:id="107"/>
      </w:r>
    </w:p>
    <w:bookmarkEnd w:id="108"/>
    <w:bookmarkStart w:id="140" w:name="the-executive-offer"/>
    <w:p>
      <w:pPr>
        <w:pStyle w:val="Heading3"/>
      </w:pPr>
      <w:r>
        <w:t xml:space="preserve">The Executive Offer</w:t>
      </w:r>
    </w:p>
    <w:p>
      <w:pPr>
        <w:pStyle w:val="FirstParagraph"/>
      </w:pPr>
      <w:r>
        <w:t xml:space="preserve">The offer was graduated. On February 27, 2025 the Department released a</w:t>
      </w:r>
      <w:r>
        <w:t xml:space="preserve"> </w:t>
      </w:r>
      <w:r>
        <w:t xml:space="preserve">“</w:t>
      </w:r>
      <w:r>
        <w:t xml:space="preserve">first phase</w:t>
      </w:r>
      <w:r>
        <w:t xml:space="preserve">”</w:t>
      </w:r>
      <w:r>
        <w:t xml:space="preserve"> </w:t>
      </w:r>
      <w:r>
        <w:t xml:space="preserve">of declassified files, binders labeled</w:t>
      </w:r>
      <w:r>
        <w:t xml:space="preserve"> </w:t>
      </w:r>
      <w:r>
        <w:t xml:space="preserve">“</w:t>
      </w:r>
      <w:r>
        <w:t xml:space="preserve">The Epstein Files: Phase 1</w:t>
      </w:r>
      <w:r>
        <w:t xml:space="preserve">”</w:t>
      </w:r>
      <w:r>
        <w:t xml:space="preserve"> </w:t>
      </w:r>
      <w:r>
        <w:t xml:space="preserve">handed to about fifteen online influencers at the White House; the contents were largely already public. The Attorney General framed the release as one that</w:t>
      </w:r>
      <w:r>
        <w:t xml:space="preserve"> </w:t>
      </w:r>
      <w:r>
        <w:rPr>
          <w:iCs/>
          <w:i/>
        </w:rPr>
        <w:t xml:space="preserve">“</w:t>
      </w:r>
      <w:r>
        <w:rPr>
          <w:iCs/>
          <w:i/>
        </w:rPr>
        <w:t xml:space="preserve">begins to provide</w:t>
      </w:r>
      <w:r>
        <w:rPr>
          <w:iCs/>
          <w:i/>
        </w:rPr>
        <w:t xml:space="preserve">”</w:t>
      </w:r>
      <w:r>
        <w:t xml:space="preserve"> </w:t>
      </w:r>
      <w:r>
        <w:t xml:space="preserve">accountability and, the same day, wrote the FBI Director demanding the</w:t>
      </w:r>
      <w:r>
        <w:t xml:space="preserve"> </w:t>
      </w:r>
      <w:r>
        <w:rPr>
          <w:iCs/>
          <w:i/>
        </w:rPr>
        <w:t xml:space="preserve">“</w:t>
      </w:r>
      <w:r>
        <w:rPr>
          <w:iCs/>
          <w:i/>
        </w:rPr>
        <w:t xml:space="preserve">full and complete</w:t>
      </w:r>
      <w:r>
        <w:rPr>
          <w:iCs/>
          <w:i/>
        </w:rPr>
        <w:t xml:space="preserve">”</w:t>
      </w:r>
      <w:r>
        <w:t xml:space="preserve"> </w:t>
      </w:r>
      <w:r>
        <w:t xml:space="preserve">files with</w:t>
      </w:r>
      <w:r>
        <w:t xml:space="preserve"> </w:t>
      </w:r>
      <w:r>
        <w:rPr>
          <w:iCs/>
          <w:i/>
        </w:rPr>
        <w:t xml:space="preserve">“</w:t>
      </w:r>
      <w:r>
        <w:rPr>
          <w:iCs/>
          <w:i/>
        </w:rPr>
        <w:t xml:space="preserve">no withholdings or limitations</w:t>
      </w:r>
      <w:r>
        <w:rPr>
          <w:iCs/>
          <w:i/>
        </w:rPr>
        <w:t xml:space="preserve">”</w:t>
      </w:r>
      <w:r>
        <w:t xml:space="preserve">: a low first offer presented as an installment.</w:t>
      </w:r>
      <w:r>
        <w:rPr>
          <w:rStyle w:val="FootnoteReference"/>
        </w:rPr>
        <w:footnoteReference w:id="109"/>
      </w:r>
      <w:r>
        <w:t xml:space="preserve"> </w:t>
      </w:r>
      <w:r>
        <w:t xml:space="preserve">The FBI’s internal Epstein Transparency Project (ETP) redaction pipeline followed in March 2025. Then an undated, unsigned Department and FBI memorandum made public in July 2025 tried to close at a low offer, concluding there was no incriminating client list and that</w:t>
      </w:r>
      <w:r>
        <w:t xml:space="preserve"> </w:t>
      </w:r>
      <w:r>
        <w:rPr>
          <w:iCs/>
          <w:i/>
        </w:rPr>
        <w:t xml:space="preserve">“</w:t>
      </w:r>
      <w:r>
        <w:rPr>
          <w:iCs/>
          <w:i/>
        </w:rPr>
        <w:t xml:space="preserve">no further disclosure would be appropriate or warranted</w:t>
      </w:r>
      <w:r>
        <w:rPr>
          <w:iCs/>
          <w:i/>
        </w:rPr>
        <w:t xml:space="preserve">”</w:t>
      </w:r>
      <w:r>
        <w:t xml:space="preserve">; backlash reopened the question. The compelled offer examined here is the latest concession, not an endstate.</w:t>
      </w:r>
    </w:p>
    <w:p>
      <w:pPr>
        <w:pStyle w:val="BodyText"/>
      </w:pPr>
      <w:r>
        <w:t xml:space="preserve">DOJ says it identified more than six million pages as potentially responsive and released over three million, nearly 3.5 million including earlier productions. The release measured here, the twelve data sets as counted through Bates EFTA02731789, contains 1,378,393 documents and 2,729,256 pages; DOJ has also published Bates-EFTA records above that number, including reports named in the June 25</w:t>
      </w:r>
      <w:r>
        <w:t xml:space="preserve"> </w:t>
      </w:r>
      <w:r>
        <w:rPr>
          <w:iCs/>
          <w:i/>
        </w:rPr>
        <w:t xml:space="preserve">Phang</w:t>
      </w:r>
      <w:r>
        <w:t xml:space="preserve"> </w:t>
      </w:r>
      <w:r>
        <w:t xml:space="preserve">order that sit in its Data Set 12 folder, and those are outside the counts.</w:t>
      </w:r>
      <w:r>
        <w:rPr>
          <w:rStyle w:val="FootnoteReference"/>
        </w:rPr>
        <w:footnoteReference w:id="110"/>
      </w:r>
      <w:r>
        <w:rPr>
          <w:vertAlign w:val="superscript"/>
        </w:rPr>
        <w:t xml:space="preserve">,</w:t>
      </w:r>
      <w:r>
        <w:rPr>
          <w:rStyle w:val="FootnoteReference"/>
        </w:rPr>
        <w:footnoteReference w:id="111"/>
      </w:r>
      <w:r>
        <w:t xml:space="preserve"> </w:t>
      </w:r>
      <w:r>
        <w:t xml:space="preserve">Different inclusions, duplicates, and nonresponsive overcollection prevent subtraction from identifying a responsive withheld population. The December 19, 2025 deadline was missed; production continued through January 30, 2026, and the Section 3 Report followed February 14. The January 30 letter describes approximately 200,000 pages redacted or withheld based on privileges, not a disjoint withheld-only population, and the report supplies no count reconciliation. These are accounting limits, not a measured percentage of unlawful withholding.</w:t>
      </w:r>
    </w:p>
    <w:p>
      <w:pPr>
        <w:pStyle w:val="BodyText"/>
      </w:pPr>
      <w:r>
        <w:t xml:space="preserve">Six aspects of implementation organize the following assessment: processing instructions, inherited markings, privilege claims, compliance reporting, completion claims, and official responsibility. Each rests on a statutory opening, an undefined term or a trigger the obligor controls (Table C.1). The label</w:t>
      </w:r>
      <w:r>
        <w:t xml:space="preserve"> </w:t>
      </w:r>
      <w:r>
        <w:t xml:space="preserve">“</w:t>
      </w:r>
      <w:r>
        <w:t xml:space="preserve">self-defined compliance</w:t>
      </w:r>
      <w:r>
        <w:t xml:space="preserve">”</w:t>
      </w:r>
      <w:r>
        <w:t xml:space="preserve"> </w:t>
      </w:r>
      <w:r>
        <w:t xml:space="preserve">describes agency choices under a disputed mandate; it does not pre-adjudicate their legality or infer a concealment motive.</w:t>
      </w:r>
    </w:p>
    <w:bookmarkStart w:id="118" w:name="Xe963a5e6e4c785206176f6fff4d7a9275bf7409"/>
    <w:p>
      <w:pPr>
        <w:pStyle w:val="Heading4"/>
      </w:pPr>
      <w:r>
        <w:t xml:space="preserve">Self-defined Compliance #1 — Earlier processing instructions</w:t>
      </w:r>
    </w:p>
    <w:p>
      <w:pPr>
        <w:pStyle w:val="FirstParagraph"/>
      </w:pPr>
      <w:r>
        <w:t xml:space="preserve">Full-corpus classification recovered nine copies of two review-guidance documents, including an FBI training deck dated March 21, 2025, eight months before enactment (EFTA00172446, pp. 1, 6).</w:t>
      </w:r>
      <w:r>
        <w:rPr>
          <w:rStyle w:val="FootnoteReference"/>
        </w:rPr>
        <w:footnoteReference w:id="112"/>
      </w:r>
      <w:r>
        <w:t xml:space="preserve"> </w:t>
      </w:r>
      <w:r>
        <w:t xml:space="preserve">Its instruction reads,</w:t>
      </w:r>
      <w:r>
        <w:t xml:space="preserve"> </w:t>
      </w:r>
      <w:r>
        <w:t xml:space="preserve">“</w:t>
      </w:r>
      <w:r>
        <w:t xml:space="preserve">Do not add any exemptions; just redaction boxes</w:t>
      </w:r>
      <w:r>
        <w:t xml:space="preserve">”</w:t>
      </w:r>
      <w:r>
        <w:t xml:space="preserve">, without a terminal period in the source.</w:t>
      </w:r>
      <w:r>
        <w:rPr>
          <w:rStyle w:val="FootnoteReference"/>
        </w:rPr>
        <w:footnoteReference w:id="113"/>
      </w:r>
      <w:r>
        <w:t xml:space="preserve"> </w:t>
      </w:r>
      <w:r>
        <w:t xml:space="preserve">This establishes what that training told processors to place on pages then. It does not establish that reasons were never recorded, that the instruction governed the post-EFTA review, or that a justification log could not be reconstructed.</w:t>
      </w:r>
    </w:p>
    <w:p>
      <w:pPr>
        <w:pStyle w:val="BodyText"/>
      </w:pPr>
      <w:r>
        <w:t xml:space="preserve">Continuity is an inference requiring a documentary bridge. DOJ’s January 30 letter describes post-enactment review protocols, updated guidance, and FAQs, which is affirmative rival evidence.</w:t>
      </w:r>
      <w:r>
        <w:rPr>
          <w:rStyle w:val="FootnoteReference"/>
        </w:rPr>
        <w:footnoteReference w:id="114"/>
      </w:r>
      <w:r>
        <w:t xml:space="preserve"> </w:t>
      </w:r>
      <w:r>
        <w:t xml:space="preserve">One such document is in the court record: the September 16</w:t>
      </w:r>
      <w:r>
        <w:t xml:space="preserve"> </w:t>
      </w:r>
      <w:r>
        <w:rPr>
          <w:iCs/>
          <w:i/>
        </w:rPr>
        <w:t xml:space="preserve">Phang</w:t>
      </w:r>
      <w:r>
        <w:t xml:space="preserve"> </w:t>
      </w:r>
      <w:r>
        <w:t xml:space="preserve">order describes DOJ’s</w:t>
      </w:r>
      <w:r>
        <w:t xml:space="preserve"> </w:t>
      </w:r>
      <w:r>
        <w:t xml:space="preserve">“</w:t>
      </w:r>
      <w:r>
        <w:t xml:space="preserve">EFTA First Level Review Protocol,</w:t>
      </w:r>
      <w:r>
        <w:t xml:space="preserve">”</w:t>
      </w:r>
      <w:r>
        <w:t xml:space="preserve"> </w:t>
      </w:r>
      <w:r>
        <w:t xml:space="preserve">cited there as dated January 4, 2026 although attached to the December 19 letter, which required redaction of personal email addresses under the Privacy Act and of government personnel names.</w:t>
      </w:r>
      <w:r>
        <w:rPr>
          <w:rStyle w:val="FootnoteReference"/>
        </w:rPr>
        <w:footnoteReference w:id="115"/>
      </w:r>
      <w:r>
        <w:t xml:space="preserve"> </w:t>
      </w:r>
      <w:r>
        <w:t xml:space="preserve">The March 2025 training gave the same rule for personnel names, so the protocol cuts both ways: it repeats one rule and gives another a statutory basis. The protocol is not among the nine guidance copies, and record-level review histories would still be needed to date any decision.</w:t>
      </w:r>
    </w:p>
    <w:p>
      <w:pPr>
        <w:pStyle w:val="BodyText"/>
      </w:pPr>
      <w:r>
        <w:t xml:space="preserve">The training’s other instructions identify earlier processing categories, not automatically unauthorized post-EFTA redactions. One contested episode is on the record: Wexner’s name was redacted in an FBI document and, by the Attorney General’s hearing testimony, restored within 40 minutes after Representative Massie raised it.</w:t>
      </w:r>
      <w:r>
        <w:rPr>
          <w:rStyle w:val="FootnoteReference"/>
        </w:rPr>
        <w:footnoteReference w:id="116"/>
      </w:r>
      <w:r>
        <w:t xml:space="preserve"> </w:t>
      </w:r>
      <w:r>
        <w:t xml:space="preserve">Section 2(b)(1) is the provision that governs a public figure’s name; the Section 3 Report states that no record was redacted on those grounds, and whether the provision was breached turns on the reason for the redaction, which no published record states. Bondi’s May 29 interview (pp. 36, 74, 86–87) acknowledges victim-protection failures.</w:t>
      </w:r>
      <w:r>
        <w:rPr>
          <w:vertAlign w:val="superscript"/>
        </w:rPr>
        <w:t xml:space="preserve">see n. 80</w:t>
      </w:r>
      <w:r>
        <w:rPr>
          <w:vertAlign w:val="superscript"/>
        </w:rPr>
        <w:t xml:space="preserve">,</w:t>
      </w:r>
      <w:r>
        <w:rPr>
          <w:rStyle w:val="FootnoteReference"/>
        </w:rPr>
        <w:footnoteReference w:id="117"/>
      </w:r>
      <w:r>
        <w:t xml:space="preserve"> </w:t>
      </w:r>
      <w:r>
        <w:t xml:space="preserve">Victim exposure and over-withholding require separate investigation.</w:t>
      </w:r>
    </w:p>
    <w:bookmarkEnd w:id="118"/>
    <w:bookmarkStart w:id="121" w:name="Xfdf61c2d695947c7f9ada46dfabcac062dd242c"/>
    <w:p>
      <w:pPr>
        <w:pStyle w:val="Heading4"/>
      </w:pPr>
      <w:r>
        <w:t xml:space="preserve">Self-defined Compliance #2 — Inherited markings</w:t>
      </w:r>
    </w:p>
    <w:p>
      <w:pPr>
        <w:pStyle w:val="FirstParagraph"/>
      </w:pPr>
      <w:r>
        <w:t xml:space="preserve">The production carries four inherited record or redaction groupings: two proceedings and two FBI record or marking categories.</w:t>
      </w:r>
      <w:r>
        <w:rPr>
          <w:rStyle w:val="FootnoteReference"/>
        </w:rPr>
        <w:footnoteReference w:id="119"/>
      </w:r>
      <w:r>
        <w:t xml:space="preserve"> </w:t>
      </w:r>
      <w:r>
        <w:t xml:space="preserve">DOJ states that third-party material retained its original redactions, while also stating that documents were loaded for review; retention does not establish that no review occurred.</w:t>
      </w:r>
      <w:r>
        <w:rPr>
          <w:vertAlign w:val="superscript"/>
        </w:rPr>
        <w:t xml:space="preserve">see n. 81</w:t>
      </w:r>
      <w:r>
        <w:t xml:space="preserve"> </w:t>
      </w:r>
      <w:r>
        <w:t xml:space="preserve">As of August 30, 2026, eight phrase queries return 2,670 documents (Set A), of which the classifier assigns 569 to inherited non-EFTA framework markers and 314 to common-law-privilege language; across the whole corpus the same classes hold 571 and 444,298 documents, the latter almost all confidentiality-disclaimer boilerplate.</w:t>
      </w:r>
      <w:r>
        <w:rPr>
          <w:rStyle w:val="FootnoteReference"/>
        </w:rPr>
        <w:footnoteReference w:id="120"/>
      </w:r>
      <w:r>
        <w:t xml:space="preserve"> </w:t>
      </w:r>
      <w:r>
        <w:t xml:space="preserve">Because most of the eight queries are the marker phrases themselves, the markers’ share of the query results is not a prevalence and is not reported. The Report never explains how the inherited markings fit Section 2(c); see Appendix A.</w:t>
      </w:r>
    </w:p>
    <w:bookmarkEnd w:id="121"/>
    <w:bookmarkStart w:id="126" w:name="Xf416fb9f35d3a9f278b4b2c13e47b08d42978df"/>
    <w:p>
      <w:pPr>
        <w:pStyle w:val="Heading4"/>
      </w:pPr>
      <w:r>
        <w:t xml:space="preserve">Self-defined Compliance #3 — Disputed privilege construction</w:t>
      </w:r>
    </w:p>
    <w:p>
      <w:pPr>
        <w:pStyle w:val="FirstParagraph"/>
      </w:pPr>
      <w:r>
        <w:t xml:space="preserve">The Section 3 Report invokes deliberative-process, work-product, and attorney-client privileges, none enumerated in § 2(c). It rests on Federal Rule of Evidence 501 and a clear-statement presumption for common-law privileges, citing</w:t>
      </w:r>
      <w:r>
        <w:t xml:space="preserve"> </w:t>
      </w:r>
      <w:r>
        <w:rPr>
          <w:iCs/>
          <w:i/>
        </w:rPr>
        <w:t xml:space="preserve">Trammel</w:t>
      </w:r>
      <w:r>
        <w:t xml:space="preserve">,</w:t>
      </w:r>
      <w:r>
        <w:t xml:space="preserve"> </w:t>
      </w:r>
      <w:r>
        <w:rPr>
          <w:iCs/>
          <w:i/>
        </w:rPr>
        <w:t xml:space="preserve">Bassett</w:t>
      </w:r>
      <w:r>
        <w:t xml:space="preserve">,</w:t>
      </w:r>
      <w:r>
        <w:t xml:space="preserve"> </w:t>
      </w:r>
      <w:r>
        <w:rPr>
          <w:iCs/>
          <w:i/>
        </w:rPr>
        <w:t xml:space="preserve">Castro-Huerta</w:t>
      </w:r>
      <w:r>
        <w:t xml:space="preserve">, and above all</w:t>
      </w:r>
      <w:r>
        <w:t xml:space="preserve"> </w:t>
      </w:r>
      <w:r>
        <w:rPr>
          <w:iCs/>
          <w:i/>
        </w:rPr>
        <w:t xml:space="preserve">FBI v. Fazaga</w:t>
      </w:r>
      <w:r>
        <w:t xml:space="preserve">, for the proposition that a privilege</w:t>
      </w:r>
      <w:r>
        <w:t xml:space="preserve"> </w:t>
      </w:r>
      <w:r>
        <w:t xml:space="preserve">“</w:t>
      </w:r>
      <w:r>
        <w:t xml:space="preserve">should not be held to have been abrogated or limited unless Congress has at least used clear statutory language.</w:t>
      </w:r>
      <w:r>
        <w:t xml:space="preserve">”</w:t>
      </w:r>
      <w:r>
        <w:rPr>
          <w:rStyle w:val="FootnoteReference"/>
        </w:rPr>
        <w:footnoteReference w:id="122"/>
      </w:r>
      <w:r>
        <w:rPr>
          <w:vertAlign w:val="superscript"/>
        </w:rPr>
        <w:t xml:space="preserve">,</w:t>
      </w:r>
      <w:r>
        <w:rPr>
          <w:rStyle w:val="FootnoteReference"/>
        </w:rPr>
        <w:footnoteReference w:id="123"/>
      </w:r>
      <w:r>
        <w:t xml:space="preserve"> </w:t>
      </w:r>
      <w:r>
        <w:t xml:space="preserve">The strongest DOJ reading is that Congress legislates against established privileges, that § 2(a) nowhere mentions privilege, and that enumerating disclosure exceptions does not displace them.</w:t>
      </w:r>
    </w:p>
    <w:p>
      <w:pPr>
        <w:pStyle w:val="BodyText"/>
      </w:pPr>
      <w:r>
        <w:t xml:space="preserve">Privilege is one of several bases DOJ applied that § 2(c)(1) does not list: the Privacy Act, redaction of government personnel names and email addresses, names redacted for</w:t>
      </w:r>
      <w:r>
        <w:t xml:space="preserve"> </w:t>
      </w:r>
      <w:r>
        <w:t xml:space="preserve">“</w:t>
      </w:r>
      <w:r>
        <w:t xml:space="preserve">law-enforcement sensitive purposes,</w:t>
      </w:r>
      <w:r>
        <w:t xml:space="preserve">”</w:t>
      </w:r>
      <w:r>
        <w:t xml:space="preserve"> </w:t>
      </w:r>
      <w:r>
        <w:t xml:space="preserve">statutes that its crosswalk groups as</w:t>
      </w:r>
      <w:r>
        <w:t xml:space="preserve"> </w:t>
      </w:r>
      <w:r>
        <w:t xml:space="preserve">“</w:t>
      </w:r>
      <w:r>
        <w:t xml:space="preserve">other applicable law,</w:t>
      </w:r>
      <w:r>
        <w:t xml:space="preserve">”</w:t>
      </w:r>
      <w:r>
        <w:t xml:space="preserve"> </w:t>
      </w:r>
      <w:r>
        <w:t xml:space="preserve">and non-production of</w:t>
      </w:r>
      <w:r>
        <w:t xml:space="preserve"> </w:t>
      </w:r>
      <w:r>
        <w:t xml:space="preserve">“</w:t>
      </w:r>
      <w:r>
        <w:t xml:space="preserve">substantially similar</w:t>
      </w:r>
      <w:r>
        <w:t xml:space="preserve">”</w:t>
      </w:r>
      <w:r>
        <w:t xml:space="preserve"> </w:t>
      </w:r>
      <w:r>
        <w:t xml:space="preserve">records and of foreign-language and technically incompatible files (Appendix C, Table C.2).</w:t>
      </w:r>
      <w:r>
        <w:rPr>
          <w:rStyle w:val="FootnoteReference"/>
        </w:rPr>
        <w:footnoteReference w:id="124"/>
      </w:r>
      <w:r>
        <w:t xml:space="preserve"> </w:t>
      </w:r>
      <w:r>
        <w:t xml:space="preserve">The</w:t>
      </w:r>
      <w:r>
        <w:t xml:space="preserve"> </w:t>
      </w:r>
      <w:r>
        <w:rPr>
          <w:iCs/>
          <w:i/>
        </w:rPr>
        <w:t xml:space="preserve">Phang</w:t>
      </w:r>
      <w:r>
        <w:t xml:space="preserve"> </w:t>
      </w:r>
      <w:r>
        <w:t xml:space="preserve">court rejected two of these rationales (duplication and foreign-language impracticability), discharged its show-cause order for the personnel and email redactions, and reserved whether the Act permits Privacy Act redactions.</w:t>
      </w:r>
    </w:p>
    <w:p>
      <w:pPr>
        <w:pStyle w:val="BodyText"/>
      </w:pPr>
      <w:r>
        <w:rPr>
          <w:bCs/>
          <w:b/>
        </w:rPr>
        <w:t xml:space="preserve">Author’s legal analysis.</w:t>
      </w:r>
      <w:r>
        <w:t xml:space="preserve"> </w:t>
      </w:r>
      <w:r>
        <w:t xml:space="preserve">The enacted text supports reading § 2(c)(1) as exclusive. The Act pairs</w:t>
      </w:r>
      <w:r>
        <w:t xml:space="preserve"> </w:t>
      </w:r>
      <w:r>
        <w:t xml:space="preserve">“</w:t>
      </w:r>
      <w:r>
        <w:t xml:space="preserve">Prohibited Grounds for Withholding</w:t>
      </w:r>
      <w:r>
        <w:t xml:space="preserve">”</w:t>
      </w:r>
      <w:r>
        <w:t xml:space="preserve"> </w:t>
      </w:r>
      <w:r>
        <w:t xml:space="preserve">with</w:t>
      </w:r>
      <w:r>
        <w:t xml:space="preserve"> </w:t>
      </w:r>
      <w:r>
        <w:t xml:space="preserve">“</w:t>
      </w:r>
      <w:r>
        <w:t xml:space="preserve">Permitted Withholdings</w:t>
      </w:r>
      <w:r>
        <w:t xml:space="preserve">”</w:t>
      </w:r>
      <w:r>
        <w:t xml:space="preserve">; § 2(a)(7) makes internal Department communications about charging decisions covered records, which a full preservation of deliberative-process and work-product privilege would leave with little to reach; and § 2(c)(1) confines even permitted withholding to</w:t>
      </w:r>
      <w:r>
        <w:t xml:space="preserve"> </w:t>
      </w:r>
      <w:r>
        <w:t xml:space="preserve">“</w:t>
      </w:r>
      <w:r>
        <w:t xml:space="preserve">segregable portions.</w:t>
      </w:r>
      <w:r>
        <w:t xml:space="preserve">”</w:t>
      </w:r>
      <w:r>
        <w:t xml:space="preserve"> </w:t>
      </w:r>
      <w:r>
        <w:t xml:space="preserve">In the December 9</w:t>
      </w:r>
      <w:r>
        <w:t xml:space="preserve"> </w:t>
      </w:r>
      <w:r>
        <w:rPr>
          <w:iCs/>
          <w:i/>
        </w:rPr>
        <w:t xml:space="preserve">Maxwell</w:t>
      </w:r>
      <w:r>
        <w:t xml:space="preserve"> </w:t>
      </w:r>
      <w:r>
        <w:t xml:space="preserve">order a court applied structural reasoning of this kind at DOJ’s request: it relied on the enumerated exceptions to hold that the Act covers grand-jury materials, and on the later-in-time and specific-over-general canons, with § 2(b)(1), to hold Rule 6(e) displaced for them. It did not address privileges.</w:t>
      </w:r>
      <w:r>
        <w:rPr>
          <w:rStyle w:val="FootnoteReference"/>
        </w:rPr>
        <w:footnoteReference w:id="125"/>
      </w:r>
      <w:r>
        <w:t xml:space="preserve"> </w:t>
      </w:r>
      <w:r>
        <w:t xml:space="preserve">DOJ’s principal authority,</w:t>
      </w:r>
      <w:r>
        <w:t xml:space="preserve"> </w:t>
      </w:r>
      <w:r>
        <w:rPr>
          <w:iCs/>
          <w:i/>
        </w:rPr>
        <w:t xml:space="preserve">Fazaga</w:t>
      </w:r>
      <w:r>
        <w:t xml:space="preserve">, stated its rule for the state-secrets privilege and called its own holding narrow; whether that rule reaches ordinary privileges under a disclosure mandate is undecided, and on DOJ’s reading paragraph (7) still reaches communications that are unprivileged or segregable. The construction is contested, not adjudicated, and the release record does not reveal what privilege-withheld pages contain. The inference that privilege substituted for intelligence classification remains withdrawn.</w:t>
      </w:r>
    </w:p>
    <w:p>
      <w:pPr>
        <w:pStyle w:val="BodyText"/>
      </w:pPr>
      <w:r>
        <w:t xml:space="preserve">Other legal regimes require separate treatment. FOIA exemptions govern FOIA and do not automatically migrate into EFTA. The Privacy Act bars disclosure without consent unless an exception applies, and its exception for disclosures</w:t>
      </w:r>
      <w:r>
        <w:t xml:space="preserve"> </w:t>
      </w:r>
      <w:r>
        <w:t xml:space="preserve">“</w:t>
      </w:r>
      <w:r>
        <w:t xml:space="preserve">required under section 552</w:t>
      </w:r>
      <w:r>
        <w:t xml:space="preserve">”</w:t>
      </w:r>
      <w:r>
        <w:t xml:space="preserve"> </w:t>
      </w:r>
      <w:r>
        <w:t xml:space="preserve">covers FOIA, not EFTA. 18 U.S.C. § 3509(d) separately protects child victims’ identities. Housekeeping rules regulate handling, but 5 U.S.C. § 301 supplies no withholding authority. In</w:t>
      </w:r>
      <w:r>
        <w:t xml:space="preserve"> </w:t>
      </w:r>
      <w:r>
        <w:rPr>
          <w:iCs/>
          <w:i/>
        </w:rPr>
        <w:t xml:space="preserve">United States v. Maxwell</w:t>
      </w:r>
      <w:r>
        <w:t xml:space="preserve">, the December 9, 2025 order held Rule 6(e) displaced for the covered grand-jury materials and modified the protective order with victim safeguards; the January 21, 2026 order in that case is discussed with the member-level routes below.</w:t>
      </w:r>
      <w:r>
        <w:rPr>
          <w:vertAlign w:val="superscript"/>
        </w:rPr>
        <w:t xml:space="preserve">see n. 90</w:t>
      </w:r>
    </w:p>
    <w:p>
      <w:pPr>
        <w:pStyle w:val="BodyText"/>
      </w:pPr>
      <w:r>
        <w:t xml:space="preserve">Classification is a separate statutory ground: § 2(c)(1)(E), read with the declassification duty in § 2(c)(3) and the duty in § 2(c)(4) to publish each decision after July 1, 2025 to classify covered information. The Classified Information Procedures Act (CIPA) supplies criminal-case procedures, not a general EFTA exemption. The pending EFTA II bills would strike (E). That alone would not open classified records, because § 2(a) still reaches only</w:t>
      </w:r>
      <w:r>
        <w:t xml:space="preserve"> </w:t>
      </w:r>
      <w:r>
        <w:t xml:space="preserve">“</w:t>
      </w:r>
      <w:r>
        <w:t xml:space="preserve">unclassified</w:t>
      </w:r>
      <w:r>
        <w:t xml:space="preserve">”</w:t>
      </w:r>
      <w:r>
        <w:t xml:space="preserve"> </w:t>
      </w:r>
      <w:r>
        <w:t xml:space="preserve">records; § 2(c)(3) would lose the withholding it applies to, while § 2(c)(4) would survive as the principal published check on classifying a record out of § 2(a). The bills’ separate State-officer access to classified records is in Table C.4. A reviewer must apply the governing protection, not presume every inherited label valid or void.</w:t>
      </w:r>
    </w:p>
    <w:bookmarkEnd w:id="126"/>
    <w:bookmarkStart w:id="129" w:name="Xdf3283dcbc82a11ee41cd3c82124f1ff70ce4f0"/>
    <w:p>
      <w:pPr>
        <w:pStyle w:val="Heading4"/>
      </w:pPr>
      <w:r>
        <w:t xml:space="preserve">Self-defined Compliance #4 — Discretionary Compliance Reporting</w:t>
      </w:r>
    </w:p>
    <w:p>
      <w:pPr>
        <w:pStyle w:val="FirstParagraph"/>
      </w:pPr>
      <w:r>
        <w:t xml:space="preserve">DOJ initially supplied no Federal Register notice and republished its Section 3 Report there on August 27, 2026, with categorical explanations, not entries keyed to records or pages.</w:t>
      </w:r>
      <w:r>
        <w:rPr>
          <w:rStyle w:val="FootnoteReference"/>
        </w:rPr>
        <w:footnoteReference w:id="127"/>
      </w:r>
      <w:r>
        <w:t xml:space="preserve"> </w:t>
      </w:r>
      <w:r>
        <w:t xml:space="preserve">Under the author’s construction,</w:t>
      </w:r>
      <w:r>
        <w:t xml:space="preserve"> </w:t>
      </w:r>
      <w:r>
        <w:t xml:space="preserve">“</w:t>
      </w:r>
      <w:r>
        <w:t xml:space="preserve">all redactions</w:t>
      </w:r>
      <w:r>
        <w:t xml:space="preserve">”</w:t>
      </w:r>
      <w:r>
        <w:t xml:space="preserve"> </w:t>
      </w:r>
      <w:r>
        <w:t xml:space="preserve">requires enough linkage to permit review of each disputed redaction. Three points support it. DOJ’s December 19 letter said that</w:t>
      </w:r>
      <w:r>
        <w:t xml:space="preserve"> </w:t>
      </w:r>
      <w:r>
        <w:t xml:space="preserve">“</w:t>
      </w:r>
      <w:r>
        <w:t xml:space="preserve">A privilege log will be produced in due course as required under the Act.</w:t>
      </w:r>
      <w:r>
        <w:t xml:space="preserve">”</w:t>
      </w:r>
      <w:r>
        <w:t xml:space="preserve"> </w:t>
      </w:r>
      <w:r>
        <w:t xml:space="preserve">Section 3(2) separately requires a</w:t>
      </w:r>
      <w:r>
        <w:t xml:space="preserve"> </w:t>
      </w:r>
      <w:r>
        <w:t xml:space="preserve">“</w:t>
      </w:r>
      <w:r>
        <w:t xml:space="preserve">summary of redactions made, including legal basis,</w:t>
      </w:r>
      <w:r>
        <w:t xml:space="preserve">”</w:t>
      </w:r>
      <w:r>
        <w:t xml:space="preserve"> </w:t>
      </w:r>
      <w:r>
        <w:t xml:space="preserve">so a categorical summary under § 2(c)(2) would duplicate it. And the June 25</w:t>
      </w:r>
      <w:r>
        <w:t xml:space="preserve"> </w:t>
      </w:r>
      <w:r>
        <w:rPr>
          <w:iCs/>
          <w:i/>
        </w:rPr>
        <w:t xml:space="preserve">Phang</w:t>
      </w:r>
      <w:r>
        <w:t xml:space="preserve"> </w:t>
      </w:r>
      <w:r>
        <w:t xml:space="preserve">opinion described the provision as requiring a</w:t>
      </w:r>
      <w:r>
        <w:t xml:space="preserve"> </w:t>
      </w:r>
      <w:r>
        <w:t xml:space="preserve">“</w:t>
      </w:r>
      <w:r>
        <w:t xml:space="preserve">redaction log</w:t>
      </w:r>
      <w:r>
        <w:t xml:space="preserve">”</w:t>
      </w:r>
      <w:r>
        <w:t xml:space="preserve"> </w:t>
      </w:r>
      <w:r>
        <w:t xml:space="preserve">due with the production, though on merits DOJ did not contest.</w:t>
      </w:r>
      <w:r>
        <w:rPr>
          <w:rStyle w:val="FootnoteReference"/>
        </w:rPr>
        <w:footnoteReference w:id="128"/>
      </w:r>
      <w:r>
        <w:t xml:space="preserve"> </w:t>
      </w:r>
      <w:r>
        <w:t xml:space="preserve">DOJ’s strongest rival is that categorical justifications accompany every member of each class, that the provision sets no deadline, and that record-level entries are impracticable for roughly 1.8 million page-slots with an apparent redaction box (uncorrected). The September 16 order discharged the publication show-cause requirement and reserved substantive adequacy.</w:t>
      </w:r>
    </w:p>
    <w:bookmarkEnd w:id="129"/>
    <w:bookmarkStart w:id="130" w:name="X3373e17d751772ff003badc9125507384ef53bd"/>
    <w:p>
      <w:pPr>
        <w:pStyle w:val="Heading4"/>
      </w:pPr>
      <w:r>
        <w:t xml:space="preserve">Self-defined Compliance #5 — Self-declared Completion</w:t>
      </w:r>
    </w:p>
    <w:p>
      <w:pPr>
        <w:pStyle w:val="FirstParagraph"/>
      </w:pPr>
      <w:r>
        <w:t xml:space="preserve">DOJ’s January 30 letter declared the identification and review process complete while describing remaining reporting obligations.</w:t>
      </w:r>
      <w:r>
        <w:rPr>
          <w:vertAlign w:val="superscript"/>
        </w:rPr>
        <w:t xml:space="preserve">see n. 81</w:t>
      </w:r>
      <w:r>
        <w:t xml:space="preserve"> </w:t>
      </w:r>
      <w:r>
        <w:t xml:space="preserve">Section 3 makes that declaration the trigger for the report, which followed February 14. A completion announcement is not a judicial determination of compliance. A proposed amendment should resolve the uncertainty by requiring the Attorney General to post, with each release and by a stated date, a machine-readable index giving for each redaction or withheld record a public identifier, the governing ground, a harm explanation where relevant, the segregability decision, the review date, and an expiry for temporary withholding, with notice of its availability in the Federal Register and a date-certain report. Protected details should go to a sealed annex accessible to the reviewing court; the public log must not identify victims or reveal that an identified record is tied to an open investigation whose subject is unaware of it.</w:t>
      </w:r>
    </w:p>
    <w:bookmarkEnd w:id="130"/>
    <w:bookmarkStart w:id="136" w:name="X05fdc739880b7d67dd3f6094979c3c1a159b488"/>
    <w:p>
      <w:pPr>
        <w:pStyle w:val="Heading4"/>
      </w:pPr>
      <w:r>
        <w:t xml:space="preserve">Self-defined Compliance #6 — Official responsibility</w:t>
      </w:r>
    </w:p>
    <w:p>
      <w:pPr>
        <w:pStyle w:val="FirstParagraph"/>
      </w:pPr>
      <w:r>
        <w:t xml:space="preserve">The compliance letters and Section 3 Report bear Blanche’s signature; Bondi’s name appears on Letter #2 and the report without her signature. Signature allocation documents responsibility for those statements, not a design to evade it. Bondi’s April removal and May 29 unsworn transcribed interview are political consequences distinct from a criminal sanction; whether any official incurred a durable legal penalty remains open.</w:t>
      </w:r>
      <w:r>
        <w:rPr>
          <w:rStyle w:val="FootnoteReference"/>
        </w:rPr>
        <w:footnoteReference w:id="131"/>
      </w:r>
      <w:r>
        <w:rPr>
          <w:vertAlign w:val="superscript"/>
        </w:rPr>
        <w:t xml:space="preserve">,</w:t>
      </w:r>
      <w:r>
        <w:rPr>
          <w:rStyle w:val="FootnoteReference"/>
        </w:rPr>
        <w:footnoteReference w:id="132"/>
      </w:r>
      <w:r>
        <w:rPr>
          <w:vertAlign w:val="superscript"/>
        </w:rPr>
        <w:t xml:space="preserve">,</w:t>
      </w:r>
      <w:r>
        <w:rPr>
          <w:vertAlign w:val="superscript"/>
        </w:rPr>
        <w:t xml:space="preserve">see n. 84</w:t>
      </w:r>
    </w:p>
    <w:p>
      <w:pPr>
        <w:pStyle w:val="BodyText"/>
      </w:pPr>
      <w:r>
        <w:t xml:space="preserve">Epstein’s state guilty plea and Maxwell’s federal conviction are real accountability for private crimes; they do not establish accountability for official oversight failures. The 2007–2008 non-prosecution agreement and its concealment from victims remain central, but the district court’s Crime Victims’ Rights Act finding was followed by</w:t>
      </w:r>
      <w:r>
        <w:t xml:space="preserve"> </w:t>
      </w:r>
      <w:r>
        <w:rPr>
          <w:iCs/>
          <w:i/>
        </w:rPr>
        <w:t xml:space="preserve">In re Wild</w:t>
      </w:r>
      <w:r>
        <w:t xml:space="preserve">, 994 F.3d 1244 (11th Cir. 2021) (en banc), which held that the Act authorized no freestanding enforcement action before federal proceedings began.</w:t>
      </w:r>
      <w:r>
        <w:rPr>
          <w:rStyle w:val="FootnoteReference"/>
        </w:rPr>
        <w:footnoteReference w:id="133"/>
      </w:r>
      <w:r>
        <w:rPr>
          <w:vertAlign w:val="superscript"/>
        </w:rPr>
        <w:t xml:space="preserve">,</w:t>
      </w:r>
      <w:r>
        <w:rPr>
          <w:rStyle w:val="FootnoteReference"/>
        </w:rPr>
        <w:footnoteReference w:id="134"/>
      </w:r>
      <w:r>
        <w:t xml:space="preserve"> </w:t>
      </w:r>
      <w:r>
        <w:t xml:space="preserve">Maxwell’s later prison transfer raises a separate question from the force of her conviction.</w:t>
      </w:r>
      <w:r>
        <w:rPr>
          <w:rStyle w:val="FootnoteReference"/>
        </w:rPr>
        <w:footnoteReference w:id="135"/>
      </w:r>
    </w:p>
    <w:bookmarkEnd w:id="136"/>
    <w:bookmarkStart w:id="137" w:name="X4db4c35490c57840572958a18ddd77c0a8c59c7"/>
    <w:p>
      <w:pPr>
        <w:pStyle w:val="Heading4"/>
      </w:pPr>
      <w:r>
        <w:t xml:space="preserve">Release, Redaction, and Justification Findings</w:t>
      </w:r>
    </w:p>
    <w:p>
      <w:pPr>
        <w:pStyle w:val="FirstParagraph"/>
      </w:pPr>
      <w:r>
        <w:t xml:space="preserve">The three analyses answer different questions and do not yield a single compliance percentage (Tables 9 and 10).</w:t>
      </w:r>
    </w:p>
    <w:p>
      <w:pPr>
        <w:pStyle w:val="BodyText"/>
      </w:pPr>
      <w:r>
        <w:rPr>
          <w:bCs/>
          <w:b/>
        </w:rPr>
        <w:t xml:space="preserve">Table 9. What Each Measurement Establishes</w:t>
      </w:r>
    </w:p>
    <w:tbl>
      <w:tblPr>
        <w:tblStyle w:val="Table"/>
        <w:tblW w:type="pct" w:w="5000"/>
        <w:tblLook w:firstRow="1" w:lastRow="0" w:firstColumn="0" w:lastColumn="0" w:noHBand="0" w:noVBand="0" w:val="0020"/>
        <w:jc w:val="start"/>
        <w:tblLayout w:type="autofit"/>
      </w:tblPr>
      <w:tblGrid>
        <w:gridCol w:w="2640"/>
        <w:gridCol w:w="2640"/>
        <w:gridCol w:w="2640"/>
      </w:tblGrid>
      <w:tr>
        <w:trPr>
          <w:tblHeader w:val="true"/>
          <w:cantSplit/>
        </w:trPr>
        <w:tc>
          <w:tcPr>
            <w:tcW w:type="pct" w:w="1667"/>
          </w:tcPr>
          <w:p>
            <w:pPr>
              <w:keepNext/>
              <w:pStyle w:val="Compact"/>
              <w:jc w:val="left"/>
            </w:pPr>
            <w:r>
              <w:rPr>
                <w:b/>
                <w:sz w:val="20"/>
              </w:rPr>
              <w:t xml:space="preserve">Measurement</w:t>
            </w:r>
          </w:p>
        </w:tc>
        <w:tc>
          <w:tcPr>
            <w:tcW w:type="pct" w:w="1667"/>
          </w:tcPr>
          <w:p>
            <w:pPr>
              <w:keepNext/>
              <w:pStyle w:val="Compact"/>
              <w:jc w:val="left"/>
            </w:pPr>
            <w:r>
              <w:rPr>
                <w:b/>
                <w:sz w:val="20"/>
              </w:rPr>
              <w:t xml:space="preserve">Supported interpretation</w:t>
            </w:r>
          </w:p>
        </w:tc>
        <w:tc>
          <w:tcPr>
            <w:tcW w:type="pct" w:w="1666"/>
          </w:tcPr>
          <w:p>
            <w:pPr>
              <w:keepNext/>
              <w:pStyle w:val="Compact"/>
              <w:jc w:val="left"/>
            </w:pPr>
            <w:r>
              <w:rPr>
                <w:b/>
                <w:sz w:val="20"/>
              </w:rPr>
              <w:t xml:space="preserve">Limit</w:t>
            </w:r>
          </w:p>
        </w:tc>
      </w:tr>
      <w:tr>
        <w:trPr>
          <w:cantSplit/>
        </w:trPr>
        <w:tc>
          <w:tcPr>
            <w:tcW w:type="pct" w:w="1667"/>
          </w:tcPr>
          <w:p>
            <w:pPr>
              <w:keepNext/>
              <w:pStyle w:val="Compact"/>
              <w:jc w:val="left"/>
            </w:pPr>
            <w:r>
              <w:rPr>
                <w:sz w:val="20"/>
              </w:rPr>
              <w:t xml:space="preserve">Release inventory</w:t>
            </w:r>
          </w:p>
        </w:tc>
        <w:tc>
          <w:tcPr>
            <w:tcW w:type="pct" w:w="1667"/>
          </w:tcPr>
          <w:p>
            <w:pPr>
              <w:keepNext/>
              <w:pStyle w:val="Compact"/>
              <w:jc w:val="left"/>
            </w:pPr>
            <w:r>
              <w:rPr>
                <w:sz w:val="20"/>
              </w:rPr>
              <w:t xml:space="preserve">Pages represented in the measured release</w:t>
            </w:r>
          </w:p>
        </w:tc>
        <w:tc>
          <w:tcPr>
            <w:tcW w:type="pct" w:w="1666"/>
          </w:tcPr>
          <w:p>
            <w:pPr>
              <w:keepNext/>
              <w:pStyle w:val="Compact"/>
              <w:jc w:val="left"/>
            </w:pPr>
            <w:r>
              <w:rPr>
                <w:sz w:val="20"/>
              </w:rPr>
              <w:t xml:space="preserve">Cannot derive a withheld responsive residual from DOJ’s gross collection</w:t>
            </w:r>
          </w:p>
        </w:tc>
      </w:tr>
      <w:tr>
        <w:trPr>
          <w:cantSplit/>
        </w:trPr>
        <w:tc>
          <w:tcPr>
            <w:tcW w:type="pct" w:w="1667"/>
          </w:tcPr>
          <w:p>
            <w:pPr>
              <w:keepNext/>
              <w:pStyle w:val="Compact"/>
              <w:jc w:val="left"/>
            </w:pPr>
            <w:r>
              <w:rPr>
                <w:sz w:val="20"/>
              </w:rPr>
              <w:t xml:space="preserve">Dark-box detector</w:t>
            </w:r>
          </w:p>
        </w:tc>
        <w:tc>
          <w:tcPr>
            <w:tcW w:type="pct" w:w="1667"/>
          </w:tcPr>
          <w:p>
            <w:pPr>
              <w:keepNext/>
              <w:pStyle w:val="Compact"/>
              <w:jc w:val="left"/>
            </w:pPr>
            <w:r>
              <w:rPr>
                <w:sz w:val="20"/>
              </w:rPr>
              <w:t xml:space="preserve">Apparent flags and calibrated dark-box prevalence</w:t>
            </w:r>
          </w:p>
        </w:tc>
        <w:tc>
          <w:tcPr>
            <w:tcW w:type="pct" w:w="1666"/>
          </w:tcPr>
          <w:p>
            <w:pPr>
              <w:keepNext/>
              <w:pStyle w:val="Compact"/>
              <w:jc w:val="left"/>
            </w:pPr>
            <w:r>
              <w:rPr>
                <w:sz w:val="20"/>
              </w:rPr>
              <w:t xml:space="preserve">Does not establish legal compliance or total redaction prevalence</w:t>
            </w:r>
          </w:p>
        </w:tc>
      </w:tr>
      <w:tr>
        <w:trPr>
          <w:cantSplit/>
        </w:trPr>
        <w:tc>
          <w:tcPr>
            <w:tcW w:type="pct" w:w="1667"/>
          </w:tcPr>
          <w:p>
            <w:pPr>
              <w:pStyle w:val="Compact"/>
              <w:jc w:val="left"/>
            </w:pPr>
            <w:r>
              <w:rPr>
                <w:sz w:val="20"/>
              </w:rPr>
              <w:t xml:space="preserve">Text classification</w:t>
            </w:r>
          </w:p>
        </w:tc>
        <w:tc>
          <w:tcPr>
            <w:tcW w:type="pct" w:w="1667"/>
          </w:tcPr>
          <w:p>
            <w:pPr>
              <w:pStyle w:val="Compact"/>
              <w:jc w:val="left"/>
            </w:pPr>
            <w:r>
              <w:rPr>
                <w:sz w:val="20"/>
              </w:rPr>
              <w:t xml:space="preserve">Assigned phrase and framework classes</w:t>
            </w:r>
          </w:p>
        </w:tc>
        <w:tc>
          <w:tcPr>
            <w:tcW w:type="pct" w:w="1666"/>
          </w:tcPr>
          <w:p>
            <w:pPr>
              <w:pStyle w:val="Compact"/>
              <w:jc w:val="left"/>
            </w:pPr>
            <w:r>
              <w:rPr>
                <w:sz w:val="20"/>
              </w:rPr>
              <w:t xml:space="preserve">Does not decide each redaction’s operative legal basis</w:t>
            </w:r>
          </w:p>
        </w:tc>
      </w:tr>
    </w:tbl>
    <w:p>
      <w:pPr>
        <w:pStyle w:val="BodyText"/>
      </w:pPr>
      <w:r>
        <w:rPr>
          <w:bCs/>
          <w:b/>
        </w:rPr>
        <w:t xml:space="preserve">Table 10. Separate Measurements, as of August 30, 2026</w:t>
      </w:r>
    </w:p>
    <w:tbl>
      <w:tblPr>
        <w:tblStyle w:val="Table"/>
        <w:tblW w:type="pct" w:w="5000"/>
        <w:tblLook w:firstRow="1" w:lastRow="0" w:firstColumn="0" w:lastColumn="0" w:noHBand="0" w:noVBand="0" w:val="0020"/>
        <w:jc w:val="start"/>
        <w:tblLayout w:type="autofit"/>
      </w:tblPr>
      <w:tblGrid>
        <w:gridCol w:w="3960"/>
        <w:gridCol w:w="3960"/>
      </w:tblGrid>
      <w:tr>
        <w:trPr>
          <w:tblHeader w:val="true"/>
          <w:cantSplit/>
        </w:trPr>
        <w:tc>
          <w:tcPr>
            <w:tcW w:type="pct" w:w="2500"/>
          </w:tcPr>
          <w:p>
            <w:pPr>
              <w:keepNext/>
              <w:pStyle w:val="Compact"/>
              <w:jc w:val="left"/>
            </w:pPr>
            <w:r>
              <w:rPr>
                <w:b/>
                <w:sz w:val="20"/>
              </w:rPr>
              <w:t xml:space="preserve">Component</w:t>
            </w:r>
          </w:p>
        </w:tc>
        <w:tc>
          <w:tcPr>
            <w:tcW w:type="pct" w:w="2500"/>
          </w:tcPr>
          <w:p>
            <w:pPr>
              <w:keepNext/>
              <w:pStyle w:val="Compact"/>
              <w:jc w:val="left"/>
            </w:pPr>
            <w:r>
              <w:rPr>
                <w:b/>
                <w:sz w:val="20"/>
              </w:rPr>
              <w:t xml:space="preserve">Result and denominator</w:t>
            </w:r>
          </w:p>
        </w:tc>
      </w:tr>
      <w:tr>
        <w:trPr>
          <w:cantSplit/>
        </w:trPr>
        <w:tc>
          <w:tcPr>
            <w:tcW w:type="pct" w:w="2500"/>
          </w:tcPr>
          <w:p>
            <w:pPr>
              <w:keepNext/>
              <w:pStyle w:val="Compact"/>
              <w:jc w:val="left"/>
            </w:pPr>
            <w:r>
              <w:rPr>
                <w:sz w:val="20"/>
              </w:rPr>
              <w:t xml:space="preserve">Measured release (Data Sets 1–12, through EFTA02731789)</w:t>
            </w:r>
          </w:p>
        </w:tc>
        <w:tc>
          <w:tcPr>
            <w:tcW w:type="pct" w:w="2500"/>
          </w:tcPr>
          <w:p>
            <w:pPr>
              <w:keepNext/>
              <w:pStyle w:val="Compact"/>
              <w:jc w:val="left"/>
            </w:pPr>
            <w:r>
              <w:rPr>
                <w:sz w:val="20"/>
              </w:rPr>
              <w:t xml:space="preserve">2,729,256 pages; not a share of a reconciled responsive universe</w:t>
            </w:r>
          </w:p>
        </w:tc>
      </w:tr>
      <w:tr>
        <w:trPr>
          <w:cantSplit/>
        </w:trPr>
        <w:tc>
          <w:tcPr>
            <w:tcW w:type="pct" w:w="2500"/>
          </w:tcPr>
          <w:p>
            <w:pPr>
              <w:keepNext/>
              <w:pStyle w:val="Compact"/>
              <w:jc w:val="left"/>
            </w:pPr>
            <w:r>
              <w:rPr>
                <w:sz w:val="20"/>
              </w:rPr>
              <w:t xml:space="preserve">DOJ collection</w:t>
            </w:r>
          </w:p>
        </w:tc>
        <w:tc>
          <w:tcPr>
            <w:tcW w:type="pct" w:w="2500"/>
          </w:tcPr>
          <w:p>
            <w:pPr>
              <w:keepNext/>
              <w:pStyle w:val="Compact"/>
              <w:jc w:val="left"/>
            </w:pPr>
            <w:r>
              <w:rPr>
                <w:sz w:val="20"/>
              </w:rPr>
              <w:t xml:space="preserve">More than 6 million potentially responsive pages, including duplication and overcollection</w:t>
            </w:r>
          </w:p>
        </w:tc>
      </w:tr>
      <w:tr>
        <w:trPr>
          <w:cantSplit/>
        </w:trPr>
        <w:tc>
          <w:tcPr>
            <w:tcW w:type="pct" w:w="2500"/>
          </w:tcPr>
          <w:p>
            <w:pPr>
              <w:keepNext/>
              <w:pStyle w:val="Compact"/>
              <w:jc w:val="left"/>
            </w:pPr>
            <w:r>
              <w:rPr>
                <w:sz w:val="20"/>
              </w:rPr>
              <w:t xml:space="preserve">January 30 letter</w:t>
            </w:r>
          </w:p>
        </w:tc>
        <w:tc>
          <w:tcPr>
            <w:tcW w:type="pct" w:w="2500"/>
          </w:tcPr>
          <w:p>
            <w:pPr>
              <w:keepNext/>
              <w:pStyle w:val="Compact"/>
              <w:jc w:val="left"/>
            </w:pPr>
            <w:r>
              <w:rPr>
                <w:sz w:val="20"/>
              </w:rPr>
              <w:t xml:space="preserve">Approximately 200,000 pages redacted or withheld based on privileges; no disjoint withheld-only share established</w:t>
            </w:r>
          </w:p>
        </w:tc>
      </w:tr>
      <w:tr>
        <w:trPr>
          <w:cantSplit/>
        </w:trPr>
        <w:tc>
          <w:tcPr>
            <w:tcW w:type="pct" w:w="2500"/>
          </w:tcPr>
          <w:p>
            <w:pPr>
              <w:keepNext/>
              <w:pStyle w:val="Compact"/>
              <w:jc w:val="left"/>
            </w:pPr>
            <w:r>
              <w:rPr>
                <w:sz w:val="20"/>
              </w:rPr>
              <w:t xml:space="preserve">Text-marker join</w:t>
            </w:r>
          </w:p>
        </w:tc>
        <w:tc>
          <w:tcPr>
            <w:tcW w:type="pct" w:w="2500"/>
          </w:tcPr>
          <w:p>
            <w:pPr>
              <w:keepNext/>
              <w:pStyle w:val="Compact"/>
              <w:jc w:val="left"/>
            </w:pPr>
            <w:r>
              <w:rPr>
                <w:sz w:val="20"/>
              </w:rPr>
              <w:t xml:space="preserve">5,438 of 2,729,178 page-slots (0.199%); 3,186 visual-plus-marker and 2,252 marker-only</w:t>
            </w:r>
          </w:p>
        </w:tc>
      </w:tr>
      <w:tr>
        <w:trPr>
          <w:cantSplit/>
        </w:trPr>
        <w:tc>
          <w:tcPr>
            <w:tcW w:type="pct" w:w="2500"/>
          </w:tcPr>
          <w:p>
            <w:pPr>
              <w:keepNext/>
              <w:pStyle w:val="Compact"/>
              <w:jc w:val="left"/>
            </w:pPr>
            <w:r>
              <w:rPr>
                <w:sz w:val="20"/>
              </w:rPr>
              <w:t xml:space="preserve">Dark-box census</w:t>
            </w:r>
          </w:p>
        </w:tc>
        <w:tc>
          <w:tcPr>
            <w:tcW w:type="pct" w:w="2500"/>
          </w:tcPr>
          <w:p>
            <w:pPr>
              <w:keepNext/>
              <w:pStyle w:val="Compact"/>
              <w:jc w:val="left"/>
            </w:pPr>
            <w:r>
              <w:rPr>
                <w:sz w:val="20"/>
              </w:rPr>
              <w:t xml:space="preserve">2,729,175 pages processed; 81 pages in 33 corrupt files excluded, plus a three-page duplicate removed</w:t>
            </w:r>
          </w:p>
        </w:tc>
      </w:tr>
      <w:tr>
        <w:trPr>
          <w:cantSplit/>
        </w:trPr>
        <w:tc>
          <w:tcPr>
            <w:tcW w:type="pct" w:w="2500"/>
          </w:tcPr>
          <w:p>
            <w:pPr>
              <w:keepNext/>
              <w:pStyle w:val="Compact"/>
              <w:jc w:val="left"/>
            </w:pPr>
            <w:r>
              <w:rPr>
                <w:sz w:val="20"/>
              </w:rPr>
              <w:t xml:space="preserve">Corrected dark-box prevalence</w:t>
            </w:r>
          </w:p>
        </w:tc>
        <w:tc>
          <w:tcPr>
            <w:tcW w:type="pct" w:w="2500"/>
          </w:tcPr>
          <w:p>
            <w:pPr>
              <w:keepNext/>
              <w:pStyle w:val="Compact"/>
              <w:jc w:val="left"/>
            </w:pPr>
            <w:r>
              <w:rPr>
                <w:sz w:val="20"/>
              </w:rPr>
              <w:t xml:space="preserve">64.5%, conditional 95% calibration interval 62.0–66.6%; tuning and transport uncertainty excluded</w:t>
            </w:r>
          </w:p>
        </w:tc>
      </w:tr>
      <w:tr>
        <w:trPr>
          <w:cantSplit/>
        </w:trPr>
        <w:tc>
          <w:tcPr>
            <w:tcW w:type="pct" w:w="2500"/>
          </w:tcPr>
          <w:p>
            <w:pPr>
              <w:keepNext/>
              <w:pStyle w:val="Compact"/>
              <w:jc w:val="left"/>
            </w:pPr>
            <w:r>
              <w:rPr>
                <w:sz w:val="20"/>
              </w:rPr>
              <w:t xml:space="preserve">Apparent image-only join</w:t>
            </w:r>
          </w:p>
        </w:tc>
        <w:tc>
          <w:tcPr>
            <w:tcW w:type="pct" w:w="2500"/>
          </w:tcPr>
          <w:p>
            <w:pPr>
              <w:keepNext/>
              <w:pStyle w:val="Compact"/>
              <w:jc w:val="left"/>
            </w:pPr>
            <w:r>
              <w:rPr>
                <w:sz w:val="20"/>
              </w:rPr>
              <w:t xml:space="preserve">1,842,147 of 2,729,178 page-slots (67.498%); uncorrected</w:t>
            </w:r>
          </w:p>
        </w:tc>
      </w:tr>
      <w:tr>
        <w:trPr>
          <w:cantSplit/>
        </w:trPr>
        <w:tc>
          <w:tcPr>
            <w:tcW w:type="pct" w:w="2500"/>
          </w:tcPr>
          <w:p>
            <w:pPr>
              <w:pStyle w:val="Compact"/>
              <w:jc w:val="left"/>
            </w:pPr>
            <w:r>
              <w:rPr>
                <w:sz w:val="20"/>
              </w:rPr>
              <w:t xml:space="preserve">Overall compliance</w:t>
            </w:r>
          </w:p>
        </w:tc>
        <w:tc>
          <w:tcPr>
            <w:tcW w:type="pct" w:w="2500"/>
          </w:tcPr>
          <w:p>
            <w:pPr>
              <w:pStyle w:val="Compact"/>
              <w:jc w:val="left"/>
            </w:pPr>
            <w:r>
              <w:rPr>
                <w:sz w:val="20"/>
              </w:rPr>
              <w:t xml:space="preserve">Not estimable from these noncomparable populations</w:t>
            </w:r>
          </w:p>
        </w:tc>
      </w:tr>
    </w:tbl>
    <w:p>
      <w:pPr>
        <w:pStyle w:val="BodyText"/>
      </w:pPr>
      <w:r>
        <w:t xml:space="preserve">At the document level, the largest classifier assignment in the 2,670-document query set is a 1,576-document fallback class, which is not a verified population of unjustified redactions (Appendix A, Table 12).</w:t>
      </w:r>
    </w:p>
    <w:p>
      <w:pPr>
        <w:pStyle w:val="BodyText"/>
      </w:pPr>
      <w:r>
        <w:t xml:space="preserve">The 64.5% dark-box estimate reuses the 400-page set used to tune the detector, its main weakness, so its 62.0–66.6% interval is conditional on that design; transport limits and unresolved white-box and media masking are set out in Appendix A, and neither this estimate nor the text counts supplies an overall compliance percentage.</w:t>
      </w:r>
    </w:p>
    <w:bookmarkEnd w:id="137"/>
    <w:bookmarkStart w:id="139" w:name="the-grand-jury-motions"/>
    <w:p>
      <w:pPr>
        <w:pStyle w:val="Heading4"/>
      </w:pPr>
      <w:r>
        <w:t xml:space="preserve">The grand-jury motions</w:t>
      </w:r>
    </w:p>
    <w:p>
      <w:pPr>
        <w:pStyle w:val="FirstParagraph"/>
      </w:pPr>
      <w:r>
        <w:t xml:space="preserve">The July 2025 grand-jury unsealing motions were denied under the law then applied; after enactment, the December 9</w:t>
      </w:r>
      <w:r>
        <w:t xml:space="preserve"> </w:t>
      </w:r>
      <w:r>
        <w:rPr>
          <w:iCs/>
          <w:i/>
        </w:rPr>
        <w:t xml:space="preserve">Maxwell</w:t>
      </w:r>
      <w:r>
        <w:t xml:space="preserve"> </w:t>
      </w:r>
      <w:r>
        <w:t xml:space="preserve">order changed access to the covered materials.</w:t>
      </w:r>
      <w:r>
        <w:rPr>
          <w:rStyle w:val="FootnoteReference"/>
        </w:rPr>
        <w:footnoteReference w:id="138"/>
      </w:r>
      <w:r>
        <w:rPr>
          <w:vertAlign w:val="superscript"/>
        </w:rPr>
        <w:t xml:space="preserve">,</w:t>
      </w:r>
      <w:r>
        <w:rPr>
          <w:vertAlign w:val="superscript"/>
        </w:rPr>
        <w:t xml:space="preserve">see n. 90</w:t>
      </w:r>
      <w:r>
        <w:t xml:space="preserve"> </w:t>
      </w:r>
      <w:r>
        <w:t xml:space="preserve">The sequence shows why contemporaneous legal constraints and later statutory changes must both be considered.</w:t>
      </w:r>
    </w:p>
    <w:bookmarkEnd w:id="139"/>
    <w:bookmarkEnd w:id="140"/>
    <w:bookmarkStart w:id="152" w:name="the-congressional-and-judicial-response"/>
    <w:p>
      <w:pPr>
        <w:pStyle w:val="Heading3"/>
      </w:pPr>
      <w:r>
        <w:t xml:space="preserve">The Congressional and Judicial Response</w:t>
      </w:r>
    </w:p>
    <w:p>
      <w:pPr>
        <w:pStyle w:val="FirstParagraph"/>
      </w:pPr>
      <w:r>
        <w:t xml:space="preserve">Congress escalated unevenly, while private litigation independently produced compulsory orders (</w:t>
      </w:r>
      <w:r>
        <w:rPr>
          <w:iCs/>
          <w:i/>
        </w:rPr>
        <w:t xml:space="preserve">Phang v. Blanche</w:t>
      </w:r>
      <w:r>
        <w:t xml:space="preserve">, discussed below). The two channels must be tracked separately: a committee majority’s refusal to pursue a suit shows political non-use, not that the suit would fail.</w:t>
      </w:r>
    </w:p>
    <w:bookmarkStart w:id="144" w:name="response-to-the-withheld-documents"/>
    <w:p>
      <w:pPr>
        <w:pStyle w:val="Heading4"/>
      </w:pPr>
      <w:r>
        <w:t xml:space="preserve">Response to the withheld documents</w:t>
      </w:r>
    </w:p>
    <w:p>
      <w:pPr>
        <w:pStyle w:val="FirstParagraph"/>
      </w:pPr>
      <w:r>
        <w:t xml:space="preserve">On January 21, 2026, Rep. Summer Lee offered a substitute for the pending Clinton contempt report. It would have replaced that report with a recommendation that the House direct the Committee to seek declaratory judgments enforcing its August 5, 2025 subpoena to Bondi, with House counsel appearing on the Speaker’s authorization. It failed 19–24 on a party-line vote: every aye a Democrat, every no a Republican. The Committee also rejected, 19–25, an amendment substituting civil enforcement for criminal contempt against Clinton, and then reported the Clinton criminal-contempt resolution 34–8.</w:t>
      </w:r>
      <w:r>
        <w:rPr>
          <w:rStyle w:val="FootnoteReference"/>
        </w:rPr>
        <w:footnoteReference w:id="141"/>
      </w:r>
      <w:r>
        <w:t xml:space="preserve"> </w:t>
      </w:r>
      <w:r>
        <w:t xml:space="preserve">Because the Lee text displaced the Clinton report, the vote is evidence of a committee choice against this remedy but not a clean test of it; it is compatible with partisan protection, and adoption would still have required action by the House. Public pressure preceded additional interview-summary releases in March, while related notes remained disputed; under Table 6 such concessions count as gains.</w:t>
      </w:r>
      <w:r>
        <w:rPr>
          <w:rStyle w:val="FootnoteReference"/>
        </w:rPr>
        <w:footnoteReference w:id="142"/>
      </w:r>
      <w:r>
        <w:rPr>
          <w:vertAlign w:val="superscript"/>
        </w:rPr>
        <w:t xml:space="preserve">,</w:t>
      </w:r>
      <w:r>
        <w:rPr>
          <w:rStyle w:val="FootnoteReference"/>
        </w:rPr>
        <w:footnoteReference w:id="143"/>
      </w:r>
    </w:p>
    <w:bookmarkEnd w:id="144"/>
    <w:bookmarkStart w:id="146" w:name="response-to-witness-avoidance"/>
    <w:p>
      <w:pPr>
        <w:pStyle w:val="Heading4"/>
      </w:pPr>
      <w:r>
        <w:t xml:space="preserve">Response to witness avoidance</w:t>
      </w:r>
    </w:p>
    <w:p>
      <w:pPr>
        <w:pStyle w:val="FirstParagraph"/>
      </w:pPr>
      <w:r>
        <w:t xml:space="preserve">The witness record mixes subpoenas, negotiated appearances, depositions, and unsworn interviews; it should not be summarized as a uniform denial. Maxwell appeared virtually on February 9 and invoked the Fifth Amendment; Bondi’s May 29 appearance was an unsworn transcribed interview; Gates’s interview occurred June 10.</w:t>
      </w:r>
      <w:r>
        <w:rPr>
          <w:vertAlign w:val="superscript"/>
        </w:rPr>
        <w:t xml:space="preserve">see n. 97</w:t>
      </w:r>
      <w:r>
        <w:rPr>
          <w:vertAlign w:val="superscript"/>
        </w:rPr>
        <w:t xml:space="preserve">,</w:t>
      </w:r>
      <w:r>
        <w:rPr>
          <w:vertAlign w:val="superscript"/>
        </w:rPr>
        <w:t xml:space="preserve">see n. 84</w:t>
      </w:r>
      <w:r>
        <w:rPr>
          <w:vertAlign w:val="superscript"/>
        </w:rPr>
        <w:t xml:space="preserve">,</w:t>
      </w:r>
      <w:r>
        <w:rPr>
          <w:rStyle w:val="FootnoteReference"/>
        </w:rPr>
        <w:footnoteReference w:id="145"/>
      </w:r>
      <w:r>
        <w:t xml:space="preserve"> </w:t>
      </w:r>
      <w:r>
        <w:t xml:space="preserve">A threatened contempt vote that secures testimony is a concrete gain, even if document access remains disputed.</w:t>
      </w:r>
    </w:p>
    <w:bookmarkEnd w:id="146"/>
    <w:bookmarkStart w:id="148" w:name="X1c9697e5d88478d03c9f50579471e70fd767f69"/>
    <w:p>
      <w:pPr>
        <w:pStyle w:val="Heading4"/>
      </w:pPr>
      <w:r>
        <w:t xml:space="preserve">Response to the Federal Register justification requirement</w:t>
      </w:r>
    </w:p>
    <w:p>
      <w:pPr>
        <w:pStyle w:val="FirstParagraph"/>
      </w:pPr>
      <w:r>
        <w:t xml:space="preserve">The private Administrative Procedure Act (APA) action</w:t>
      </w:r>
      <w:r>
        <w:t xml:space="preserve"> </w:t>
      </w:r>
      <w:r>
        <w:rPr>
          <w:iCs/>
          <w:i/>
        </w:rPr>
        <w:t xml:space="preserve">Phang v. Blanche</w:t>
      </w:r>
      <w:r>
        <w:t xml:space="preserve"> </w:t>
      </w:r>
      <w:r>
        <w:t xml:space="preserve">is substantive counterevidence to a categorical enforcement-monopoly account. Judge Emmet G. Sullivan’s June 25 preliminary injunction (ECF 15, with opinion ECF 16) required production or a showing of cause for specified emails, documents, and interview notes; it separately required initiation of foreign-language review and publication or a showing of cause for the redaction log.</w:t>
      </w:r>
      <w:r>
        <w:rPr>
          <w:vertAlign w:val="superscript"/>
        </w:rPr>
        <w:t xml:space="preserve">see n. 82</w:t>
      </w:r>
      <w:r>
        <w:t xml:space="preserve"> </w:t>
      </w:r>
      <w:r>
        <w:t xml:space="preserve">It did not order immediate public release of every withheld record. The September orders show both the reach and limits of this route:</w:t>
      </w:r>
    </w:p>
    <w:tbl>
      <w:tblPr>
        <w:tblStyle w:val="Table"/>
        <w:tblW w:type="pct" w:w="5000"/>
        <w:tblLook w:firstRow="1" w:lastRow="0" w:firstColumn="0" w:lastColumn="0" w:noHBand="0" w:noVBand="0" w:val="0020"/>
        <w:jc w:val="start"/>
        <w:tblLayout w:type="autofit"/>
      </w:tblPr>
      <w:tblGrid>
        <w:gridCol w:w="2640"/>
        <w:gridCol w:w="2640"/>
        <w:gridCol w:w="2640"/>
      </w:tblGrid>
      <w:tr>
        <w:trPr>
          <w:tblHeader w:val="true"/>
          <w:cantSplit/>
        </w:trPr>
        <w:tc>
          <w:tcPr>
            <w:tcW w:type="pct" w:w="1667"/>
          </w:tcPr>
          <w:p>
            <w:pPr>
              <w:pStyle w:val="Compact"/>
              <w:jc w:val="left"/>
            </w:pPr>
            <w:r>
              <w:rPr>
                <w:b/>
                <w:sz w:val="20"/>
              </w:rPr>
              <w:t xml:space="preserve">Date / order</w:t>
            </w:r>
          </w:p>
        </w:tc>
        <w:tc>
          <w:tcPr>
            <w:tcW w:type="pct" w:w="1667"/>
          </w:tcPr>
          <w:p>
            <w:pPr>
              <w:pStyle w:val="Compact"/>
              <w:jc w:val="left"/>
            </w:pPr>
            <w:r>
              <w:rPr>
                <w:b/>
                <w:sz w:val="20"/>
              </w:rPr>
              <w:t xml:space="preserve">Compulsion and response</w:t>
            </w:r>
          </w:p>
        </w:tc>
        <w:tc>
          <w:tcPr>
            <w:tcW w:type="pct" w:w="1666"/>
          </w:tcPr>
          <w:p>
            <w:pPr>
              <w:pStyle w:val="Compact"/>
              <w:jc w:val="left"/>
            </w:pPr>
            <w:r>
              <w:rPr>
                <w:b/>
                <w:sz w:val="20"/>
              </w:rPr>
              <w:t xml:space="preserve">Evidentiary limit</w:t>
            </w:r>
          </w:p>
        </w:tc>
      </w:tr>
      <w:tr>
        <w:trPr>
          <w:cantSplit/>
        </w:trPr>
        <w:tc>
          <w:tcPr>
            <w:tcW w:type="pct" w:w="1667"/>
          </w:tcPr>
          <w:p>
            <w:pPr>
              <w:pStyle w:val="Compact"/>
              <w:jc w:val="left"/>
            </w:pPr>
            <w:r>
              <w:rPr>
                <w:sz w:val="20"/>
              </w:rPr>
              <w:t xml:space="preserve">June 25, ECF 15–16</w:t>
            </w:r>
          </w:p>
        </w:tc>
        <w:tc>
          <w:tcPr>
            <w:tcW w:type="pct" w:w="1667"/>
          </w:tcPr>
          <w:p>
            <w:pPr>
              <w:pStyle w:val="Compact"/>
              <w:jc w:val="left"/>
            </w:pPr>
            <w:r>
              <w:rPr>
                <w:sz w:val="20"/>
              </w:rPr>
              <w:t xml:space="preserve">Preliminary APA relief, with July 2 obligations</w:t>
            </w:r>
          </w:p>
        </w:tc>
        <w:tc>
          <w:tcPr>
            <w:tcW w:type="pct" w:w="1666"/>
          </w:tcPr>
          <w:p>
            <w:pPr>
              <w:pStyle w:val="Compact"/>
              <w:jc w:val="left"/>
            </w:pPr>
            <w:r>
              <w:rPr>
                <w:sz w:val="20"/>
              </w:rPr>
              <w:t xml:space="preserve">Likelihood of success found on merits DOJ did not contest (Local Civil Rule 7(b)), so no exemption claim was adjudicated; the APA right of action, standing, and FOIA-adequacy rulings are contested and on appeal</w:t>
            </w:r>
          </w:p>
        </w:tc>
      </w:tr>
      <w:tr>
        <w:trPr>
          <w:cantSplit/>
        </w:trPr>
        <w:tc>
          <w:tcPr>
            <w:tcW w:type="pct" w:w="1667"/>
          </w:tcPr>
          <w:p>
            <w:pPr>
              <w:pStyle w:val="Compact"/>
              <w:jc w:val="left"/>
            </w:pPr>
            <w:r>
              <w:rPr>
                <w:sz w:val="20"/>
              </w:rPr>
              <w:t xml:space="preserve">July 25 / July 30; August 13 (recounted in ECF 43, pp. 6–8)</w:t>
            </w:r>
          </w:p>
        </w:tc>
        <w:tc>
          <w:tcPr>
            <w:tcW w:type="pct" w:w="1667"/>
          </w:tcPr>
          <w:p>
            <w:pPr>
              <w:pStyle w:val="Compact"/>
              <w:jc w:val="left"/>
            </w:pPr>
            <w:r>
              <w:rPr>
                <w:sz w:val="20"/>
              </w:rPr>
              <w:t xml:space="preserve">Court ordered in-camera submissions; DOJ submitted materials; further victim evidence requested</w:t>
            </w:r>
          </w:p>
        </w:tc>
        <w:tc>
          <w:tcPr>
            <w:tcW w:type="pct" w:w="1666"/>
          </w:tcPr>
          <w:p>
            <w:pPr>
              <w:pStyle w:val="Compact"/>
              <w:jc w:val="left"/>
            </w:pPr>
            <w:r>
              <w:rPr>
                <w:sz w:val="20"/>
              </w:rPr>
              <w:t xml:space="preserve">Judicial access and review occurred; not equivalent to full public production</w:t>
            </w:r>
          </w:p>
        </w:tc>
      </w:tr>
      <w:tr>
        <w:trPr>
          <w:cantSplit/>
        </w:trPr>
        <w:tc>
          <w:tcPr>
            <w:tcW w:type="pct" w:w="1667"/>
          </w:tcPr>
          <w:p>
            <w:pPr>
              <w:pStyle w:val="Compact"/>
              <w:jc w:val="left"/>
            </w:pPr>
            <w:r>
              <w:rPr>
                <w:sz w:val="20"/>
              </w:rPr>
              <w:t xml:space="preserve">September 16, ECF 42</w:t>
            </w:r>
          </w:p>
        </w:tc>
        <w:tc>
          <w:tcPr>
            <w:tcW w:type="pct" w:w="1667"/>
          </w:tcPr>
          <w:p>
            <w:pPr>
              <w:pStyle w:val="Compact"/>
              <w:jc w:val="left"/>
            </w:pPr>
            <w:r>
              <w:rPr>
                <w:sz w:val="20"/>
              </w:rPr>
              <w:t xml:space="preserve">Answer compelled by September 24; stay of filing deadlines denied</w:t>
            </w:r>
          </w:p>
        </w:tc>
        <w:tc>
          <w:tcPr>
            <w:tcW w:type="pct" w:w="1666"/>
          </w:tcPr>
          <w:p>
            <w:pPr>
              <w:pStyle w:val="Compact"/>
              <w:jc w:val="left"/>
            </w:pPr>
            <w:r>
              <w:rPr>
                <w:sz w:val="20"/>
              </w:rPr>
              <w:t xml:space="preserve">Procedural enforcement, not sanctions for the underlying disclosure dispute</w:t>
            </w:r>
          </w:p>
        </w:tc>
      </w:tr>
      <w:tr>
        <w:trPr>
          <w:cantSplit/>
        </w:trPr>
        <w:tc>
          <w:tcPr>
            <w:tcW w:type="pct" w:w="1667"/>
          </w:tcPr>
          <w:p>
            <w:pPr>
              <w:pStyle w:val="Compact"/>
              <w:jc w:val="left"/>
            </w:pPr>
            <w:r>
              <w:rPr>
                <w:sz w:val="20"/>
              </w:rPr>
              <w:t xml:space="preserve">September 16, ECF 43, pp. 9–16, 19–20</w:t>
            </w:r>
          </w:p>
        </w:tc>
        <w:tc>
          <w:tcPr>
            <w:tcW w:type="pct" w:w="1667"/>
          </w:tcPr>
          <w:p>
            <w:pPr>
              <w:pStyle w:val="Compact"/>
              <w:jc w:val="left"/>
            </w:pPr>
            <w:r>
              <w:rPr>
                <w:sz w:val="20"/>
              </w:rPr>
              <w:t xml:space="preserve">Show cause discharged for victim names in five records, for private email addresses redacted under the Privacy Act, and for government-personnel names, the last two under DOJ’s review protocol; notes and specified names required in camera; foreign-language review renewed for September 24</w:t>
            </w:r>
          </w:p>
        </w:tc>
        <w:tc>
          <w:tcPr>
            <w:tcW w:type="pct" w:w="1666"/>
          </w:tcPr>
          <w:p>
            <w:pPr>
              <w:pStyle w:val="Compact"/>
              <w:jc w:val="left"/>
            </w:pPr>
            <w:r>
              <w:rPr>
                <w:sz w:val="20"/>
              </w:rPr>
              <w:t xml:space="preserve">Whether the Act permits Privacy Act redactions expressly reserved; the duplication and foreign-language rationales for non-production rejected; civil contempt declined as premature; appeal No. 26-5299 pending, and a second appeal, No. 26-5334, docketed September 21; new deadline not yet tested here</w:t>
            </w:r>
          </w:p>
        </w:tc>
      </w:tr>
      <w:tr>
        <w:trPr>
          <w:cantSplit/>
        </w:trPr>
        <w:tc>
          <w:tcPr>
            <w:tcW w:type="pct" w:w="1667"/>
          </w:tcPr>
          <w:p>
            <w:pPr>
              <w:pStyle w:val="Compact"/>
              <w:jc w:val="left"/>
            </w:pPr>
            <w:r>
              <w:rPr>
                <w:sz w:val="20"/>
              </w:rPr>
              <w:t xml:space="preserve">September 16, ECF 43, pp. 17–18</w:t>
            </w:r>
          </w:p>
        </w:tc>
        <w:tc>
          <w:tcPr>
            <w:tcW w:type="pct" w:w="1667"/>
          </w:tcPr>
          <w:p>
            <w:pPr>
              <w:pStyle w:val="Compact"/>
              <w:jc w:val="left"/>
            </w:pPr>
            <w:r>
              <w:rPr>
                <w:sz w:val="20"/>
              </w:rPr>
              <w:t xml:space="preserve">Federal Register publication show-cause issue discharged</w:t>
            </w:r>
          </w:p>
        </w:tc>
        <w:tc>
          <w:tcPr>
            <w:tcW w:type="pct" w:w="1666"/>
          </w:tcPr>
          <w:p>
            <w:pPr>
              <w:pStyle w:val="Compact"/>
              <w:jc w:val="left"/>
            </w:pPr>
            <w:r>
              <w:rPr>
                <w:sz w:val="20"/>
              </w:rPr>
              <w:t xml:space="preserve">Adequacy of the notice’s content expressly left for later proceedings</w:t>
            </w:r>
          </w:p>
        </w:tc>
      </w:tr>
    </w:tbl>
    <w:p>
      <w:pPr>
        <w:pStyle w:val="BodyText"/>
      </w:pPr>
      <w:r>
        <w:t xml:space="preserve">The September 16 orders postdate the August 30, 2026 corpus cutoff. Together the orders show one district court exercising APA review and in camera inspection without DOJ choosing to prosecute; standing, the APA right of action, and the adequacy of FOIA as an alternative are before the D.C. Circuit. They do not establish comprehensive public release, a final privilege holding, or a collected penalty. The Inspector General’s audit is another review channel, subject to the Attorney General’s authority under 5 U.S.C. § 413(a) to prohibit an audit that requires sensitive investigative information, with notice to Congress.</w:t>
      </w:r>
      <w:r>
        <w:rPr>
          <w:rStyle w:val="FootnoteReference"/>
        </w:rPr>
        <w:footnoteReference w:id="147"/>
      </w:r>
    </w:p>
    <w:bookmarkEnd w:id="148"/>
    <w:bookmarkStart w:id="151" w:name="member-level-routes"/>
    <w:p>
      <w:pPr>
        <w:pStyle w:val="Heading4"/>
      </w:pPr>
      <w:r>
        <w:t xml:space="preserve">Member-level routes</w:t>
      </w:r>
    </w:p>
    <w:p>
      <w:pPr>
        <w:pStyle w:val="FirstParagraph"/>
      </w:pPr>
      <w:r>
        <w:t xml:space="preserve">Three member-level routes are on the record. Representative Thomas Massie, an EFTA co-author, named three men DOJ should investigate on the House floor on February 24, 2026. The Speech or Debate Clause protects the floor statement, though not its republication outside Congress; the speech neither compels the withheld records nor alters the redaction process.</w:t>
      </w:r>
      <w:r>
        <w:rPr>
          <w:rStyle w:val="FootnoteReference"/>
        </w:rPr>
        <w:footnoteReference w:id="149"/>
      </w:r>
      <w:r>
        <w:t xml:space="preserve"> </w:t>
      </w:r>
      <w:r>
        <w:t xml:space="preserve">Second, the January 30 letter invites any Member to view unredacted material by arrangement through Judiciary Committee leadership under confidentiality undertakings, and the Section 3 Report says some have done so. DOJ then told the</w:t>
      </w:r>
      <w:r>
        <w:t xml:space="preserve"> </w:t>
      </w:r>
      <w:r>
        <w:rPr>
          <w:iCs/>
          <w:i/>
        </w:rPr>
        <w:t xml:space="preserve">Phang</w:t>
      </w:r>
      <w:r>
        <w:t xml:space="preserve"> </w:t>
      </w:r>
      <w:r>
        <w:t xml:space="preserve">court that it</w:t>
      </w:r>
      <w:r>
        <w:t xml:space="preserve"> </w:t>
      </w:r>
      <w:r>
        <w:t xml:space="preserve">“</w:t>
      </w:r>
      <w:r>
        <w:t xml:space="preserve">should not supplant Congress’s acceptance</w:t>
      </w:r>
      <w:r>
        <w:t xml:space="preserve">”</w:t>
      </w:r>
      <w:r>
        <w:t xml:space="preserve"> </w:t>
      </w:r>
      <w:r>
        <w:t xml:space="preserve">of its explanation for not reviewing foreign-language documents; the court found no authority that congressional silence amends the Act.</w:t>
      </w:r>
      <w:r>
        <w:rPr>
          <w:rStyle w:val="FootnoteReference"/>
        </w:rPr>
        <w:footnoteReference w:id="150"/>
      </w:r>
      <w:r>
        <w:t xml:space="preserve"> </w:t>
      </w:r>
      <w:r>
        <w:t xml:space="preserve">Third, when Massie and Representative Khanna, the Act’s co-sponsors, moved to participate as amici in</w:t>
      </w:r>
      <w:r>
        <w:t xml:space="preserve"> </w:t>
      </w:r>
      <w:r>
        <w:rPr>
          <w:iCs/>
          <w:i/>
        </w:rPr>
        <w:t xml:space="preserve">Maxwell</w:t>
      </w:r>
      <w:r>
        <w:t xml:space="preserve"> </w:t>
      </w:r>
      <w:r>
        <w:t xml:space="preserve">and obtain a special master, the court held on January 21, 2026 that the criminal case gave it no authority to supervise compliance, without prejudice to a separate suit, and noted without deciding DOJ’s argument that the members would lack standing.</w:t>
      </w:r>
      <w:r>
        <w:rPr>
          <w:vertAlign w:val="superscript"/>
        </w:rPr>
        <w:t xml:space="preserve">see n. 90</w:t>
      </w:r>
    </w:p>
    <w:bookmarkEnd w:id="151"/>
    <w:bookmarkEnd w:id="152"/>
    <w:bookmarkStart w:id="154" w:name="the-cumulative-reading"/>
    <w:p>
      <w:pPr>
        <w:pStyle w:val="Heading3"/>
      </w:pPr>
      <w:r>
        <w:t xml:space="preserve">The cumulative reading</w:t>
      </w:r>
    </w:p>
    <w:p>
      <w:pPr>
        <w:pStyle w:val="FirstParagraph"/>
      </w:pPr>
      <w:r>
        <w:t xml:space="preserve">The evidence supports a narrower cumulative reading: agency processing choices and contested interpretations shape disclosure, while political and judicial checks sometimes change that process. The dated training, inherited markers, and absence of an itemized public log do not jointly prove post-enactment continuity or unlawful privilege use. The following source-to-inference audit replaces decisive-test labels.</w:t>
      </w:r>
      <w:r>
        <w:rPr>
          <w:rStyle w:val="FootnoteReference"/>
        </w:rPr>
        <w:footnoteReference w:id="153"/>
      </w:r>
    </w:p>
    <w:tbl>
      <w:tblPr>
        <w:tblStyle w:val="Table"/>
        <w:tblW w:type="pct" w:w="5000"/>
        <w:tblLook w:firstRow="1" w:lastRow="0" w:firstColumn="0" w:lastColumn="0" w:noHBand="0" w:noVBand="0" w:val="0020"/>
        <w:jc w:val="start"/>
        <w:tblLayout w:type="autofit"/>
      </w:tblPr>
      <w:tblGrid>
        <w:gridCol w:w="2640"/>
        <w:gridCol w:w="2640"/>
        <w:gridCol w:w="2640"/>
      </w:tblGrid>
      <w:tr>
        <w:trPr>
          <w:tblHeader w:val="true"/>
          <w:cantSplit/>
        </w:trPr>
        <w:tc>
          <w:tcPr>
            <w:tcW w:type="pct" w:w="1667"/>
          </w:tcPr>
          <w:p>
            <w:pPr>
              <w:keepNext/>
              <w:pStyle w:val="Compact"/>
              <w:jc w:val="left"/>
            </w:pPr>
            <w:r>
              <w:rPr>
                <w:b/>
                <w:sz w:val="20"/>
              </w:rPr>
              <w:t xml:space="preserve">Observation</w:t>
            </w:r>
          </w:p>
        </w:tc>
        <w:tc>
          <w:tcPr>
            <w:tcW w:type="pct" w:w="1667"/>
          </w:tcPr>
          <w:p>
            <w:pPr>
              <w:keepNext/>
              <w:pStyle w:val="Compact"/>
              <w:jc w:val="left"/>
            </w:pPr>
            <w:r>
              <w:rPr>
                <w:b/>
                <w:sz w:val="20"/>
              </w:rPr>
              <w:t xml:space="preserve">What the source establishes</w:t>
            </w:r>
          </w:p>
        </w:tc>
        <w:tc>
          <w:tcPr>
            <w:tcW w:type="pct" w:w="1666"/>
          </w:tcPr>
          <w:p>
            <w:pPr>
              <w:keepNext/>
              <w:pStyle w:val="Compact"/>
              <w:jc w:val="left"/>
            </w:pPr>
            <w:r>
              <w:rPr>
                <w:b/>
                <w:sz w:val="20"/>
              </w:rPr>
              <w:t xml:space="preserve">Rival or missing link</w:t>
            </w:r>
          </w:p>
        </w:tc>
      </w:tr>
      <w:tr>
        <w:trPr>
          <w:cantSplit/>
        </w:trPr>
        <w:tc>
          <w:tcPr>
            <w:tcW w:type="pct" w:w="1667"/>
          </w:tcPr>
          <w:p>
            <w:pPr>
              <w:keepNext/>
              <w:pStyle w:val="Compact"/>
              <w:jc w:val="left"/>
            </w:pPr>
            <w:r>
              <w:rPr>
                <w:sz w:val="20"/>
              </w:rPr>
              <w:t xml:space="preserve">March 21 training</w:t>
            </w:r>
          </w:p>
        </w:tc>
        <w:tc>
          <w:tcPr>
            <w:tcW w:type="pct" w:w="1667"/>
          </w:tcPr>
          <w:p>
            <w:pPr>
              <w:keepNext/>
              <w:pStyle w:val="Compact"/>
              <w:jc w:val="left"/>
            </w:pPr>
            <w:r>
              <w:rPr>
                <w:sz w:val="20"/>
              </w:rPr>
              <w:t xml:space="preserve">Earlier box-only page instruction</w:t>
            </w:r>
          </w:p>
        </w:tc>
        <w:tc>
          <w:tcPr>
            <w:tcW w:type="pct" w:w="1666"/>
          </w:tcPr>
          <w:p>
            <w:pPr>
              <w:keepNext/>
              <w:pStyle w:val="Compact"/>
              <w:jc w:val="left"/>
            </w:pPr>
            <w:r>
              <w:rPr>
                <w:sz w:val="20"/>
              </w:rPr>
              <w:t xml:space="preserve">Updated post-enactment protocols; no demonstrated continuity</w:t>
            </w:r>
          </w:p>
        </w:tc>
      </w:tr>
      <w:tr>
        <w:trPr>
          <w:cantSplit/>
        </w:trPr>
        <w:tc>
          <w:tcPr>
            <w:tcW w:type="pct" w:w="1667"/>
          </w:tcPr>
          <w:p>
            <w:pPr>
              <w:keepNext/>
              <w:pStyle w:val="Compact"/>
              <w:jc w:val="left"/>
            </w:pPr>
            <w:r>
              <w:rPr>
                <w:sz w:val="20"/>
              </w:rPr>
              <w:t xml:space="preserve">Inherited text markers</w:t>
            </w:r>
          </w:p>
        </w:tc>
        <w:tc>
          <w:tcPr>
            <w:tcW w:type="pct" w:w="1667"/>
          </w:tcPr>
          <w:p>
            <w:pPr>
              <w:keepNext/>
              <w:pStyle w:val="Compact"/>
              <w:jc w:val="left"/>
            </w:pPr>
            <w:r>
              <w:rPr>
                <w:sz w:val="20"/>
              </w:rPr>
              <w:t xml:space="preserve">Presence of framework language in released records</w:t>
            </w:r>
          </w:p>
        </w:tc>
        <w:tc>
          <w:tcPr>
            <w:tcW w:type="pct" w:w="1666"/>
          </w:tcPr>
          <w:p>
            <w:pPr>
              <w:keepNext/>
              <w:pStyle w:val="Compact"/>
              <w:jc w:val="left"/>
            </w:pPr>
            <w:r>
              <w:rPr>
                <w:sz w:val="20"/>
              </w:rPr>
              <w:t xml:space="preserve">Legacy markings, quotations, and incidental hits may not be operative reasons</w:t>
            </w:r>
          </w:p>
        </w:tc>
      </w:tr>
      <w:tr>
        <w:trPr>
          <w:cantSplit/>
        </w:trPr>
        <w:tc>
          <w:tcPr>
            <w:tcW w:type="pct" w:w="1667"/>
          </w:tcPr>
          <w:p>
            <w:pPr>
              <w:keepNext/>
              <w:pStyle w:val="Compact"/>
              <w:jc w:val="left"/>
            </w:pPr>
            <w:r>
              <w:rPr>
                <w:sz w:val="20"/>
              </w:rPr>
              <w:t xml:space="preserve">Section 3 privilege account</w:t>
            </w:r>
          </w:p>
        </w:tc>
        <w:tc>
          <w:tcPr>
            <w:tcW w:type="pct" w:w="1667"/>
          </w:tcPr>
          <w:p>
            <w:pPr>
              <w:keepNext/>
              <w:pStyle w:val="Compact"/>
              <w:jc w:val="left"/>
            </w:pPr>
            <w:r>
              <w:rPr>
                <w:sz w:val="20"/>
              </w:rPr>
              <w:t xml:space="preserve">DOJ’s common-law-preservation construction</w:t>
            </w:r>
          </w:p>
        </w:tc>
        <w:tc>
          <w:tcPr>
            <w:tcW w:type="pct" w:w="1666"/>
          </w:tcPr>
          <w:p>
            <w:pPr>
              <w:keepNext/>
              <w:pStyle w:val="Compact"/>
              <w:jc w:val="left"/>
            </w:pPr>
            <w:r>
              <w:rPr>
                <w:sz w:val="20"/>
              </w:rPr>
              <w:t xml:space="preserve">Author’s contrary construction awaits adjudication</w:t>
            </w:r>
          </w:p>
        </w:tc>
      </w:tr>
      <w:tr>
        <w:trPr>
          <w:cantSplit/>
        </w:trPr>
        <w:tc>
          <w:tcPr>
            <w:tcW w:type="pct" w:w="1667"/>
          </w:tcPr>
          <w:p>
            <w:pPr>
              <w:keepNext/>
              <w:pStyle w:val="Compact"/>
              <w:jc w:val="left"/>
            </w:pPr>
            <w:r>
              <w:rPr>
                <w:sz w:val="20"/>
              </w:rPr>
              <w:t xml:space="preserve">August 27 notice / September 16 order</w:t>
            </w:r>
          </w:p>
        </w:tc>
        <w:tc>
          <w:tcPr>
            <w:tcW w:type="pct" w:w="1667"/>
          </w:tcPr>
          <w:p>
            <w:pPr>
              <w:keepNext/>
              <w:pStyle w:val="Compact"/>
              <w:jc w:val="left"/>
            </w:pPr>
            <w:r>
              <w:rPr>
                <w:sz w:val="20"/>
              </w:rPr>
              <w:t xml:space="preserve">Publication occurred; itemized adequacy remains contested</w:t>
            </w:r>
          </w:p>
        </w:tc>
        <w:tc>
          <w:tcPr>
            <w:tcW w:type="pct" w:w="1666"/>
          </w:tcPr>
          <w:p>
            <w:pPr>
              <w:keepNext/>
              <w:pStyle w:val="Compact"/>
              <w:jc w:val="left"/>
            </w:pPr>
            <w:r>
              <w:rPr>
                <w:sz w:val="20"/>
              </w:rPr>
              <w:t xml:space="preserve">Categorical compliance reading remains live</w:t>
            </w:r>
          </w:p>
        </w:tc>
      </w:tr>
      <w:tr>
        <w:trPr>
          <w:cantSplit/>
        </w:trPr>
        <w:tc>
          <w:tcPr>
            <w:tcW w:type="pct" w:w="1667"/>
          </w:tcPr>
          <w:p>
            <w:pPr>
              <w:keepNext/>
              <w:pStyle w:val="Compact"/>
              <w:jc w:val="left"/>
            </w:pPr>
            <w:r>
              <w:rPr>
                <w:sz w:val="20"/>
              </w:rPr>
              <w:t xml:space="preserve">Congressional and judicial action</w:t>
            </w:r>
          </w:p>
        </w:tc>
        <w:tc>
          <w:tcPr>
            <w:tcW w:type="pct" w:w="1667"/>
          </w:tcPr>
          <w:p>
            <w:pPr>
              <w:keepNext/>
              <w:pStyle w:val="Compact"/>
              <w:jc w:val="left"/>
            </w:pPr>
            <w:r>
              <w:rPr>
                <w:sz w:val="20"/>
              </w:rPr>
              <w:t xml:space="preserve">Rep. Lee’s substitute recommending a House-directed civil suit defeated on a party-line vote, 19–24; APA orders issued and in camera review undertaken</w:t>
            </w:r>
          </w:p>
        </w:tc>
        <w:tc>
          <w:tcPr>
            <w:tcW w:type="pct" w:w="1666"/>
          </w:tcPr>
          <w:p>
            <w:pPr>
              <w:keepNext/>
              <w:pStyle w:val="Compact"/>
              <w:jc w:val="left"/>
            </w:pPr>
            <w:r>
              <w:rPr>
                <w:sz w:val="20"/>
              </w:rPr>
              <w:t xml:space="preserve">Political unwillingness and legal enforcement coexist; the substitute displaced another report, so the vote is not a clean test</w:t>
            </w:r>
          </w:p>
        </w:tc>
      </w:tr>
      <w:tr>
        <w:trPr>
          <w:cantSplit/>
        </w:trPr>
        <w:tc>
          <w:tcPr>
            <w:tcW w:type="pct" w:w="1667"/>
          </w:tcPr>
          <w:p>
            <w:pPr>
              <w:pStyle w:val="Compact"/>
              <w:jc w:val="left"/>
            </w:pPr>
            <w:r>
              <w:rPr>
                <w:sz w:val="20"/>
              </w:rPr>
              <w:t xml:space="preserve">Non-escalation by committee or chamber majorities</w:t>
            </w:r>
          </w:p>
        </w:tc>
        <w:tc>
          <w:tcPr>
            <w:tcW w:type="pct" w:w="1667"/>
          </w:tcPr>
          <w:p>
            <w:pPr>
              <w:pStyle w:val="Compact"/>
              <w:jc w:val="left"/>
            </w:pPr>
            <w:r>
              <w:rPr>
                <w:sz w:val="20"/>
              </w:rPr>
              <w:t xml:space="preserve">Recorded votes against an available remedy</w:t>
            </w:r>
          </w:p>
        </w:tc>
        <w:tc>
          <w:tcPr>
            <w:tcW w:type="pct" w:w="1666"/>
          </w:tcPr>
          <w:p>
            <w:pPr>
              <w:pStyle w:val="Compact"/>
              <w:jc w:val="left"/>
            </w:pPr>
            <w:r>
              <w:rPr>
                <w:sz w:val="20"/>
              </w:rPr>
              <w:t xml:space="preserve">Agreement or deference among pivotal members is a rival to executive information control as the nearer constraint</w:t>
            </w:r>
          </w:p>
        </w:tc>
      </w:tr>
    </w:tbl>
    <w:p>
      <w:pPr>
        <w:pStyle w:val="BodyText"/>
      </w:pPr>
      <w:r>
        <w:t xml:space="preserve">This is congruence with parts of the bargaining account, not a discriminating confirmation against partisanship, administrative burden, privacy protection, or judicial self-correction.</w:t>
      </w:r>
    </w:p>
    <w:p>
      <w:pPr>
        <w:pStyle w:val="BodyText"/>
      </w:pPr>
      <w:r>
        <w:rPr>
          <w:bCs/>
          <w:b/>
        </w:rPr>
        <w:t xml:space="preserve">Table 11. What the bargaining vocabulary and two rival accounts would each expect, by episode (descriptive; not independent predictions)</w:t>
      </w:r>
    </w:p>
    <w:tbl>
      <w:tblPr>
        <w:tblStyle w:val="Table"/>
        <w:tblW w:type="pct" w:w="5000"/>
        <w:tblLook w:firstRow="1" w:lastRow="0" w:firstColumn="0" w:lastColumn="0" w:noHBand="0" w:noVBand="0" w:val="0020"/>
        <w:jc w:val="start"/>
        <w:tblLayout w:type="autofit"/>
      </w:tblPr>
      <w:tblGrid>
        <w:gridCol w:w="1320"/>
        <w:gridCol w:w="1320"/>
        <w:gridCol w:w="1320"/>
        <w:gridCol w:w="1320"/>
        <w:gridCol w:w="1320"/>
        <w:gridCol w:w="1320"/>
      </w:tblGrid>
      <w:tr>
        <w:trPr>
          <w:tblHeader w:val="true"/>
          <w:cantSplit/>
        </w:trPr>
        <w:tc>
          <w:tcPr>
            <w:tcW w:type="pct" w:w="833"/>
          </w:tcPr>
          <w:p>
            <w:pPr>
              <w:pStyle w:val="Compact"/>
              <w:jc w:val="left"/>
            </w:pPr>
            <w:r>
              <w:rPr>
                <w:b/>
                <w:sz w:val="20"/>
              </w:rPr>
              <w:t xml:space="preserve">Case</w:t>
            </w:r>
          </w:p>
        </w:tc>
        <w:tc>
          <w:tcPr>
            <w:tcW w:type="pct" w:w="833"/>
          </w:tcPr>
          <w:p>
            <w:pPr>
              <w:pStyle w:val="Compact"/>
              <w:jc w:val="left"/>
            </w:pPr>
            <w:r>
              <w:rPr>
                <w:b/>
                <w:sz w:val="20"/>
              </w:rPr>
              <w:t xml:space="preserve">Observed result</w:t>
            </w:r>
          </w:p>
        </w:tc>
        <w:tc>
          <w:tcPr>
            <w:tcW w:type="pct" w:w="833"/>
          </w:tcPr>
          <w:p>
            <w:pPr>
              <w:pStyle w:val="Compact"/>
              <w:jc w:val="left"/>
            </w:pPr>
            <w:r>
              <w:rPr>
                <w:b/>
                <w:sz w:val="20"/>
              </w:rPr>
              <w:t xml:space="preserve">Bargaining vocabulary</w:t>
            </w:r>
          </w:p>
        </w:tc>
        <w:tc>
          <w:tcPr>
            <w:tcW w:type="pct" w:w="833"/>
          </w:tcPr>
          <w:p>
            <w:pPr>
              <w:pStyle w:val="Compact"/>
              <w:jc w:val="left"/>
            </w:pPr>
            <w:r>
              <w:rPr>
                <w:b/>
                <w:sz w:val="20"/>
              </w:rPr>
              <w:t xml:space="preserve">Partisan account</w:t>
            </w:r>
          </w:p>
        </w:tc>
        <w:tc>
          <w:tcPr>
            <w:tcW w:type="pct" w:w="833"/>
          </w:tcPr>
          <w:p>
            <w:pPr>
              <w:pStyle w:val="Compact"/>
              <w:jc w:val="left"/>
            </w:pPr>
            <w:r>
              <w:rPr>
                <w:b/>
                <w:sz w:val="20"/>
              </w:rPr>
              <w:t xml:space="preserve">Fire-alarm or self-correction account</w:t>
            </w:r>
          </w:p>
        </w:tc>
        <w:tc>
          <w:tcPr>
            <w:tcW w:type="pct" w:w="835"/>
          </w:tcPr>
          <w:p>
            <w:pPr>
              <w:pStyle w:val="Compact"/>
              <w:jc w:val="left"/>
            </w:pPr>
            <w:r>
              <w:rPr>
                <w:b/>
                <w:sz w:val="20"/>
              </w:rPr>
              <w:t xml:space="preserve">Do the accounts differ?</w:t>
            </w:r>
          </w:p>
        </w:tc>
      </w:tr>
      <w:tr>
        <w:trPr>
          <w:cantSplit/>
        </w:trPr>
        <w:tc>
          <w:tcPr>
            <w:tcW w:type="pct" w:w="833"/>
          </w:tcPr>
          <w:p>
            <w:pPr>
              <w:pStyle w:val="Compact"/>
              <w:jc w:val="left"/>
            </w:pPr>
            <w:r>
              <w:rPr>
                <w:sz w:val="20"/>
              </w:rPr>
              <w:t xml:space="preserve">Pike and Church</w:t>
            </w:r>
          </w:p>
        </w:tc>
        <w:tc>
          <w:tcPr>
            <w:tcW w:type="pct" w:w="833"/>
          </w:tcPr>
          <w:p>
            <w:pPr>
              <w:pStyle w:val="Compact"/>
              <w:jc w:val="left"/>
            </w:pPr>
            <w:r>
              <w:rPr>
                <w:sz w:val="20"/>
              </w:rPr>
              <w:t xml:space="preserve">Both investigated; the House barred official publication of Pike’s report on a cross-party vote; Church published over presidential objection. Reform followed; SSCI/HPSCI and FISA endured. Helms’s plea and fine survived; Felt and Miller were pardoned.</w:t>
            </w:r>
          </w:p>
        </w:tc>
        <w:tc>
          <w:tcPr>
            <w:tcW w:type="pct" w:w="833"/>
          </w:tcPr>
          <w:p>
            <w:pPr>
              <w:pStyle w:val="Compact"/>
              <w:jc w:val="left"/>
            </w:pPr>
            <w:r>
              <w:rPr>
                <w:sz w:val="20"/>
              </w:rPr>
              <w:t xml:space="preserve">Conditional access and executive arbitration of release; a committee that publishes over executive objection is overridden where its chamber sides with the executive and sustained where it does not.</w:t>
            </w:r>
          </w:p>
        </w:tc>
        <w:tc>
          <w:tcPr>
            <w:tcW w:type="pct" w:w="833"/>
          </w:tcPr>
          <w:p>
            <w:pPr>
              <w:pStyle w:val="Compact"/>
              <w:jc w:val="left"/>
            </w:pPr>
            <w:r>
              <w:rPr>
                <w:sz w:val="20"/>
              </w:rPr>
              <w:t xml:space="preserve">An opposition Congress escalates against the President; it does not expect a cross-party House majority to bind its own committee.</w:t>
            </w:r>
          </w:p>
        </w:tc>
        <w:tc>
          <w:tcPr>
            <w:tcW w:type="pct" w:w="833"/>
          </w:tcPr>
          <w:p>
            <w:pPr>
              <w:pStyle w:val="Compact"/>
              <w:jc w:val="left"/>
            </w:pPr>
            <w:r>
              <w:rPr>
                <w:sz w:val="20"/>
              </w:rPr>
              <w:t xml:space="preserve">Outside alarm, investigation, publication, reform.</w:t>
            </w:r>
          </w:p>
        </w:tc>
        <w:tc>
          <w:tcPr>
            <w:tcW w:type="pct" w:w="835"/>
          </w:tcPr>
          <w:p>
            <w:pPr>
              <w:pStyle w:val="Compact"/>
              <w:jc w:val="left"/>
            </w:pPr>
            <w:r>
              <w:rPr>
                <w:sz w:val="20"/>
              </w:rPr>
              <w:t xml:space="preserve">Partly. The House vote fits neither a simple partisan account nor executive control alone; publication and reform fit self-correction.</w:t>
            </w:r>
          </w:p>
        </w:tc>
      </w:tr>
      <w:tr>
        <w:trPr>
          <w:cantSplit/>
        </w:trPr>
        <w:tc>
          <w:tcPr>
            <w:tcW w:type="pct" w:w="833"/>
          </w:tcPr>
          <w:p>
            <w:pPr>
              <w:pStyle w:val="Compact"/>
              <w:jc w:val="left"/>
            </w:pPr>
            <w:r>
              <w:rPr>
                <w:sz w:val="20"/>
              </w:rPr>
              <w:t xml:space="preserve">Iran-Contra</w:t>
            </w:r>
          </w:p>
        </w:tc>
        <w:tc>
          <w:tcPr>
            <w:tcW w:type="pct" w:w="833"/>
          </w:tcPr>
          <w:p>
            <w:pPr>
              <w:pStyle w:val="Compact"/>
              <w:jc w:val="left"/>
            </w:pPr>
            <w:r>
              <w:rPr>
                <w:sz w:val="20"/>
              </w:rPr>
              <w:t xml:space="preserve">Extensive compelled, immunized testimony; records withheld or destroyed. The 1991 Act moved the statutory floor while the discretion claim survived. Fourteen charged and eleven convicted; reversals and pardons had differing effects.</w:t>
            </w:r>
          </w:p>
        </w:tc>
        <w:tc>
          <w:tcPr>
            <w:tcW w:type="pct" w:w="833"/>
          </w:tcPr>
          <w:p>
            <w:pPr>
              <w:pStyle w:val="Compact"/>
              <w:jc w:val="left"/>
            </w:pPr>
            <w:r>
              <w:rPr>
                <w:sz w:val="20"/>
              </w:rPr>
              <w:t xml:space="preserve">Withheld records, negotiated concessions, and a settlement that leaves discretion claims standing.</w:t>
            </w:r>
          </w:p>
        </w:tc>
        <w:tc>
          <w:tcPr>
            <w:tcW w:type="pct" w:w="833"/>
          </w:tcPr>
          <w:p>
            <w:pPr>
              <w:pStyle w:val="Compact"/>
              <w:jc w:val="left"/>
            </w:pPr>
            <w:r>
              <w:rPr>
                <w:sz w:val="20"/>
              </w:rPr>
              <w:t xml:space="preserve">An opposition Congress investigates and legislates.</w:t>
            </w:r>
          </w:p>
        </w:tc>
        <w:tc>
          <w:tcPr>
            <w:tcW w:type="pct" w:w="833"/>
          </w:tcPr>
          <w:p>
            <w:pPr>
              <w:pStyle w:val="Compact"/>
              <w:jc w:val="left"/>
            </w:pPr>
            <w:r>
              <w:rPr>
                <w:sz w:val="20"/>
              </w:rPr>
              <w:t xml:space="preserve">Exposure, prosecution by an independent counsel, statute.</w:t>
            </w:r>
          </w:p>
        </w:tc>
        <w:tc>
          <w:tcPr>
            <w:tcW w:type="pct" w:w="835"/>
          </w:tcPr>
          <w:p>
            <w:pPr>
              <w:pStyle w:val="Compact"/>
              <w:jc w:val="left"/>
            </w:pPr>
            <w:r>
              <w:rPr>
                <w:sz w:val="20"/>
              </w:rPr>
              <w:t xml:space="preserve">No discriminating observation on access and policy. On sanctions, reversals and pardons fit the bargaining description and surviving convictions fit self-correction.</w:t>
            </w:r>
          </w:p>
        </w:tc>
      </w:tr>
      <w:tr>
        <w:trPr>
          <w:cantSplit/>
        </w:trPr>
        <w:tc>
          <w:tcPr>
            <w:tcW w:type="pct" w:w="833"/>
          </w:tcPr>
          <w:p>
            <w:pPr>
              <w:pStyle w:val="Compact"/>
              <w:jc w:val="left"/>
            </w:pPr>
            <w:r>
              <w:rPr>
                <w:sz w:val="20"/>
              </w:rPr>
              <w:t xml:space="preserve">NSA bulk collection</w:t>
            </w:r>
          </w:p>
        </w:tc>
        <w:tc>
          <w:tcPr>
            <w:tcW w:type="pct" w:w="833"/>
          </w:tcPr>
          <w:p>
            <w:pPr>
              <w:pStyle w:val="Compact"/>
              <w:jc w:val="left"/>
            </w:pPr>
            <w:r>
              <w:rPr>
                <w:sz w:val="20"/>
              </w:rPr>
              <w:t xml:space="preserve">Member access constrained; objection muted under opposition and same-party Senates alike; provider immunity enacted by an opposition Congress (2008); public access expanded after leaks. USA FREEDOM ended Section 215 bulk collection. Member requests concerning Clapper acknowledged; no charge established.</w:t>
            </w:r>
          </w:p>
        </w:tc>
        <w:tc>
          <w:tcPr>
            <w:tcW w:type="pct" w:w="833"/>
          </w:tcPr>
          <w:p>
            <w:pPr>
              <w:pStyle w:val="Compact"/>
              <w:jc w:val="left"/>
            </w:pPr>
            <w:r>
              <w:rPr>
                <w:sz w:val="20"/>
              </w:rPr>
              <w:t xml:space="preserve">Muted objection under classification; reform only after outside disclosure.</w:t>
            </w:r>
          </w:p>
        </w:tc>
        <w:tc>
          <w:tcPr>
            <w:tcW w:type="pct" w:w="833"/>
          </w:tcPr>
          <w:p>
            <w:pPr>
              <w:pStyle w:val="Compact"/>
              <w:jc w:val="left"/>
            </w:pPr>
            <w:r>
              <w:rPr>
                <w:sz w:val="20"/>
              </w:rPr>
              <w:t xml:space="preserve">Escalation by the opposition Senates of 2001–02 and 2007–08 and little by the same-party Senates; no immunity from an opposition Congress for providers that assisted the President’s program; a statute from an opposition Congress in 2015.</w:t>
            </w:r>
          </w:p>
        </w:tc>
        <w:tc>
          <w:tcPr>
            <w:tcW w:type="pct" w:w="833"/>
          </w:tcPr>
          <w:p>
            <w:pPr>
              <w:pStyle w:val="Compact"/>
              <w:jc w:val="left"/>
            </w:pPr>
            <w:r>
              <w:rPr>
                <w:sz w:val="20"/>
              </w:rPr>
              <w:t xml:space="preserve">Leak, litigation, statute.</w:t>
            </w:r>
          </w:p>
        </w:tc>
        <w:tc>
          <w:tcPr>
            <w:tcW w:type="pct" w:w="835"/>
          </w:tcPr>
          <w:p>
            <w:pPr>
              <w:pStyle w:val="Compact"/>
              <w:jc w:val="left"/>
            </w:pPr>
            <w:r>
              <w:rPr>
                <w:sz w:val="20"/>
              </w:rPr>
              <w:t xml:space="preserve">Partly. Muted objection under the opposition Senates and the 2008 immunity from an opposition Congress do not fit the partisan account; the bargaining description fits both as consent under classification, and the fire-alarm account fits the muted objection.</w:t>
            </w:r>
          </w:p>
        </w:tc>
      </w:tr>
      <w:tr>
        <w:trPr>
          <w:cantSplit/>
        </w:trPr>
        <w:tc>
          <w:tcPr>
            <w:tcW w:type="pct" w:w="833"/>
          </w:tcPr>
          <w:p>
            <w:pPr>
              <w:pStyle w:val="Compact"/>
              <w:jc w:val="left"/>
            </w:pPr>
            <w:r>
              <w:rPr>
                <w:sz w:val="20"/>
              </w:rPr>
              <w:t xml:space="preserve">CIA Interrogation Program</w:t>
            </w:r>
          </w:p>
        </w:tc>
        <w:tc>
          <w:tcPr>
            <w:tcW w:type="pct" w:w="833"/>
          </w:tcPr>
          <w:p>
            <w:pPr>
              <w:pStyle w:val="Compact"/>
              <w:jc w:val="left"/>
            </w:pPr>
            <w:r>
              <w:rPr>
                <w:sz w:val="20"/>
              </w:rPr>
              <w:t xml:space="preserve">More than six million pages reviewed and the executive summary public; full study withheld. FY2016 NDAA anti-torture restrictions. Durham closed without charges; disciplinary findings reduced.</w:t>
            </w:r>
          </w:p>
        </w:tc>
        <w:tc>
          <w:tcPr>
            <w:tcW w:type="pct" w:w="833"/>
          </w:tcPr>
          <w:p>
            <w:pPr>
              <w:pStyle w:val="Compact"/>
              <w:jc w:val="left"/>
            </w:pPr>
            <w:r>
              <w:rPr>
                <w:sz w:val="20"/>
              </w:rPr>
              <w:t xml:space="preserve">Counter-pressure and restricted publication alongside a statute.</w:t>
            </w:r>
          </w:p>
        </w:tc>
        <w:tc>
          <w:tcPr>
            <w:tcW w:type="pct" w:w="833"/>
          </w:tcPr>
          <w:p>
            <w:pPr>
              <w:pStyle w:val="Compact"/>
              <w:jc w:val="left"/>
            </w:pPr>
            <w:r>
              <w:rPr>
                <w:sz w:val="20"/>
              </w:rPr>
              <w:t xml:space="preserve">An opposition Senate opens the review (2007) and a later majority investigates a program begun under the other party; persistence against its own party’s administration is not expected.</w:t>
            </w:r>
          </w:p>
        </w:tc>
        <w:tc>
          <w:tcPr>
            <w:tcW w:type="pct" w:w="833"/>
          </w:tcPr>
          <w:p>
            <w:pPr>
              <w:pStyle w:val="Compact"/>
              <w:jc w:val="left"/>
            </w:pPr>
            <w:r>
              <w:rPr>
                <w:sz w:val="20"/>
              </w:rPr>
              <w:t xml:space="preserve">Study, summary, statute.</w:t>
            </w:r>
          </w:p>
        </w:tc>
        <w:tc>
          <w:tcPr>
            <w:tcW w:type="pct" w:w="835"/>
          </w:tcPr>
          <w:p>
            <w:pPr>
              <w:pStyle w:val="Compact"/>
              <w:jc w:val="left"/>
            </w:pPr>
            <w:r>
              <w:rPr>
                <w:sz w:val="20"/>
              </w:rPr>
              <w:t xml:space="preserve">Mixed: initiation fits the partisan account and persistence against same-party resistance does not; no on outcomes.</w:t>
            </w:r>
          </w:p>
        </w:tc>
      </w:tr>
      <w:tr>
        <w:trPr>
          <w:cantSplit/>
        </w:trPr>
        <w:tc>
          <w:tcPr>
            <w:tcW w:type="pct" w:w="833"/>
          </w:tcPr>
          <w:p>
            <w:pPr>
              <w:pStyle w:val="Compact"/>
              <w:jc w:val="left"/>
            </w:pPr>
            <w:r>
              <w:rPr>
                <w:sz w:val="20"/>
              </w:rPr>
              <w:t xml:space="preserve">EFTA</w:t>
            </w:r>
          </w:p>
        </w:tc>
        <w:tc>
          <w:tcPr>
            <w:tcW w:type="pct" w:w="833"/>
          </w:tcPr>
          <w:p>
            <w:pPr>
              <w:pStyle w:val="Compact"/>
              <w:jc w:val="left"/>
            </w:pPr>
            <w:r>
              <w:rPr>
                <w:sz w:val="20"/>
              </w:rPr>
              <w:t xml:space="preserve">Missed deadline and contested privilege and reporting claims; post-enactment workflow continuity unproved; preliminary APA compulsion.</w:t>
            </w:r>
          </w:p>
        </w:tc>
        <w:tc>
          <w:tcPr>
            <w:tcW w:type="pct" w:w="833"/>
          </w:tcPr>
          <w:p>
            <w:pPr>
              <w:pStyle w:val="Compact"/>
              <w:jc w:val="left"/>
            </w:pPr>
            <w:r>
              <w:rPr>
                <w:sz w:val="20"/>
              </w:rPr>
              <w:t xml:space="preserve">Delay and disputed definitions of compliance under executive custody.</w:t>
            </w:r>
          </w:p>
        </w:tc>
        <w:tc>
          <w:tcPr>
            <w:tcW w:type="pct" w:w="833"/>
          </w:tcPr>
          <w:p>
            <w:pPr>
              <w:pStyle w:val="Compact"/>
              <w:jc w:val="left"/>
            </w:pPr>
            <w:r>
              <w:rPr>
                <w:sz w:val="20"/>
              </w:rPr>
              <w:t xml:space="preserve">A same-party committee declines to enforce; the one recorded vote was party-line.</w:t>
            </w:r>
          </w:p>
        </w:tc>
        <w:tc>
          <w:tcPr>
            <w:tcW w:type="pct" w:w="833"/>
          </w:tcPr>
          <w:p>
            <w:pPr>
              <w:pStyle w:val="Compact"/>
              <w:jc w:val="left"/>
            </w:pPr>
            <w:r>
              <w:rPr>
                <w:sz w:val="20"/>
              </w:rPr>
              <w:t xml:space="preserve">A private suit compels through the courts.</w:t>
            </w:r>
          </w:p>
        </w:tc>
        <w:tc>
          <w:tcPr>
            <w:tcW w:type="pct" w:w="835"/>
          </w:tcPr>
          <w:p>
            <w:pPr>
              <w:pStyle w:val="Compact"/>
              <w:jc w:val="left"/>
            </w:pPr>
            <w:r>
              <w:rPr>
                <w:sz w:val="20"/>
              </w:rPr>
              <w:t xml:space="preserve">No discriminating observation yet. A change of party control or the appellate rulings would supply one.</w:t>
            </w:r>
          </w:p>
        </w:tc>
      </w:tr>
      <w:tr>
        <w:trPr>
          <w:cantSplit/>
        </w:trPr>
        <w:tc>
          <w:tcPr>
            <w:tcW w:type="pct" w:w="833"/>
          </w:tcPr>
          <w:p>
            <w:pPr>
              <w:pStyle w:val="Compact"/>
              <w:jc w:val="left"/>
            </w:pPr>
            <w:r>
              <w:rPr>
                <w:sz w:val="20"/>
              </w:rPr>
              <w:t xml:space="preserve">Watergate tapes (contrast)</w:t>
            </w:r>
          </w:p>
        </w:tc>
        <w:tc>
          <w:tcPr>
            <w:tcW w:type="pct" w:w="833"/>
          </w:tcPr>
          <w:p>
            <w:pPr>
              <w:pStyle w:val="Compact"/>
              <w:jc w:val="left"/>
            </w:pPr>
            <w:r>
              <w:rPr>
                <w:sz w:val="20"/>
              </w:rPr>
              <w:t xml:space="preserve">Nothing produced to the Senate committee, whose suit was dismissed; tapes ordered produced on the Special Prosecutor’s trial subpoena; impeachment inquiry; resignation and pardon; senior aides convicted.</w:t>
            </w:r>
          </w:p>
        </w:tc>
        <w:tc>
          <w:tcPr>
            <w:tcW w:type="pct" w:w="833"/>
          </w:tcPr>
          <w:p>
            <w:pPr>
              <w:pStyle w:val="Compact"/>
              <w:jc w:val="left"/>
            </w:pPr>
            <w:r>
              <w:rPr>
                <w:sz w:val="20"/>
              </w:rPr>
              <w:t xml:space="preserve">Scored on the committee’s demand, the early indicators are present and the committee’s own remedy failed.</w:t>
            </w:r>
          </w:p>
        </w:tc>
        <w:tc>
          <w:tcPr>
            <w:tcW w:type="pct" w:w="833"/>
          </w:tcPr>
          <w:p>
            <w:pPr>
              <w:pStyle w:val="Compact"/>
              <w:jc w:val="left"/>
            </w:pPr>
            <w:r>
              <w:rPr>
                <w:sz w:val="20"/>
              </w:rPr>
              <w:t xml:space="preserve">An opposition Congress escalates.</w:t>
            </w:r>
          </w:p>
        </w:tc>
        <w:tc>
          <w:tcPr>
            <w:tcW w:type="pct" w:w="833"/>
          </w:tcPr>
          <w:p>
            <w:pPr>
              <w:pStyle w:val="Compact"/>
              <w:jc w:val="left"/>
            </w:pPr>
            <w:r>
              <w:rPr>
                <w:sz w:val="20"/>
              </w:rPr>
              <w:t xml:space="preserve">Prosecutor, court, and impeachment inquiry produce the records and sanctions.</w:t>
            </w:r>
          </w:p>
        </w:tc>
        <w:tc>
          <w:tcPr>
            <w:tcW w:type="pct" w:w="835"/>
          </w:tcPr>
          <w:p>
            <w:pPr>
              <w:pStyle w:val="Compact"/>
              <w:jc w:val="left"/>
            </w:pPr>
            <w:r>
              <w:rPr>
                <w:sz w:val="20"/>
              </w:rPr>
              <w:t xml:space="preserve">On the congressional channel, no: all three fit. On outcome, yes: the records came through a regulation-insulated prosecutor and the courts, which fits the self-correction account better than the bargaining description.</w:t>
            </w:r>
          </w:p>
        </w:tc>
      </w:tr>
    </w:tbl>
    <w:bookmarkEnd w:id="154"/>
    <w:bookmarkStart w:id="157" w:name="rival-hypothesis-partisan-alignment"/>
    <w:p>
      <w:pPr>
        <w:pStyle w:val="Heading3"/>
      </w:pPr>
      <w:r>
        <w:t xml:space="preserve">Rival hypothesis: partisan alignment</w:t>
      </w:r>
    </w:p>
    <w:p>
      <w:pPr>
        <w:pStyle w:val="FirstParagraph"/>
      </w:pPr>
      <w:r>
        <w:t xml:space="preserve">Partisan incentives and institutional constraints are compatible explanations. Research on congressional investigation finds that party control affects investigative activity, most robustly in the House, and Levinson and Pildes state the rival in general form: the distinction between party-divided and party-unified government rivals, and often dominates, the distinction between the branches.</w:t>
      </w:r>
      <w:r>
        <w:rPr>
          <w:rStyle w:val="FootnoteReference"/>
        </w:rPr>
        <w:footnoteReference w:id="155"/>
      </w:r>
      <w:r>
        <w:t xml:space="preserve"> </w:t>
      </w:r>
      <w:r>
        <w:t xml:space="preserve">EFTA arose under unified government, and the party-line defeat of the Lee substitute is the most direct evidence here for a willingness-based explanation, qualified by the fact that the substitute displaced another report. A unified-government implementation failure cannot by itself separate partisanship from the structural description.</w:t>
      </w:r>
    </w:p>
    <w:p>
      <w:pPr>
        <w:pStyle w:val="BodyText"/>
      </w:pPr>
      <w:r>
        <w:t xml:space="preserve">Coded by investigating chamber and sub-period (Table 2), the episodes do not separate the accounts. Opposition chambers (Pike and Church; Iran-Contra, through 1991; the Watergate contrast) produced testimony, publication, suits, and statutory reform, though the House also bound its own committee in 1976. The CIA review began in an opposition Senate and targeted a program begun under the other party, as a partisan account expects; its persistence against a same-party administration’s resistance does not fit that account. In the NSA case objection stayed muted under opposition and same-party Senates alike, an opposition Congress enacted the 2008 provider immunity, and an opposition Congress enacted the 2015 statute. In EFTA the same-party committee declined the civil remedy. A partisan account would expect most of this ordering, and these selected cases cannot test a probabilistic theory.</w:t>
      </w:r>
      <w:r>
        <w:rPr>
          <w:rStyle w:val="FootnoteReference"/>
        </w:rPr>
        <w:footnoteReference w:id="156"/>
      </w:r>
      <w:r>
        <w:t xml:space="preserve"> </w:t>
      </w:r>
      <w:r>
        <w:t xml:space="preserve">Non-use of a channel must still be distinguished from its unavailability: the civil route is open to the House in the district court on present authority, unsettled on appeal, and for the Senate outside its civil-enforcement statute and untested on any other basis (Appendix C, Table C.3).</w:t>
      </w:r>
    </w:p>
    <w:p>
      <w:pPr>
        <w:pStyle w:val="BodyText"/>
      </w:pPr>
      <w:r>
        <w:t xml:space="preserve">If party control changes after the November election, subsequent escalation and production will supply further observations; no result is predicted here. Continued withholding would need its legal and factual grounds examined before being attributed to an institutional pattern.</w:t>
      </w:r>
    </w:p>
    <w:p>
      <w:pPr>
        <w:pStyle w:val="BodyText"/>
      </w:pPr>
      <w:r>
        <w:rPr>
          <w:iCs/>
          <w:i/>
        </w:rPr>
        <w:t xml:space="preserve">Phang</w:t>
      </w:r>
      <w:r>
        <w:t xml:space="preserve"> </w:t>
      </w:r>
      <w:r>
        <w:t xml:space="preserve">shows that one private plaintiff obtained preliminary APA compulsion in this setting, on an informational-injury theory and with the merits treated as conceded. Its public-production result, appellate treatment, and remedial durability remain unresolved. The paper therefore presents EFTA as a live congruence assessment with material counterevidence, not a completed causal test or a forecast that only external rupture can succeed.</w:t>
      </w:r>
    </w:p>
    <w:p>
      <w:r>
        <w:pict>
          <v:rect style="width:0;height:1.5pt" o:hralign="center" o:hrstd="t" o:hr="t"/>
        </w:pict>
      </w:r>
    </w:p>
    <w:bookmarkEnd w:id="157"/>
    <w:bookmarkEnd w:id="158"/>
    <w:bookmarkStart w:id="169" w:name="implications"/>
    <w:p>
      <w:pPr>
        <w:pStyle w:val="Heading2"/>
      </w:pPr>
      <w:r>
        <w:t xml:space="preserve">Implications</w:t>
      </w:r>
    </w:p>
    <w:p>
      <w:pPr>
        <w:pStyle w:val="FirstParagraph"/>
      </w:pPr>
      <w:r>
        <w:t xml:space="preserve">The deepest consequence is constitutional, and it is not that negotiation replaces checking. The Supreme Court reads Madison’s design as an</w:t>
      </w:r>
      <w:r>
        <w:t xml:space="preserve"> </w:t>
      </w:r>
      <w:r>
        <w:t xml:space="preserve">“</w:t>
      </w:r>
      <w:r>
        <w:t xml:space="preserve">ongoing relationship</w:t>
      </w:r>
      <w:r>
        <w:t xml:space="preserve">”</w:t>
      </w:r>
      <w:r>
        <w:t xml:space="preserve"> </w:t>
      </w:r>
      <w:r>
        <w:t xml:space="preserve">of</w:t>
      </w:r>
      <w:r>
        <w:t xml:space="preserve"> </w:t>
      </w:r>
      <w:r>
        <w:t xml:space="preserve">“</w:t>
      </w:r>
      <w:r>
        <w:t xml:space="preserve">rivalry and reciprocity</w:t>
      </w:r>
      <w:r>
        <w:t xml:space="preserve">”</w:t>
      </w:r>
      <w:r>
        <w:t xml:space="preserve"> </w:t>
      </w:r>
      <w:r>
        <w:t xml:space="preserve">and records that disputes over congressional demands for presidential documents have historically been settled in the political process, not in court; the D.C. Circuit speaks of an</w:t>
      </w:r>
      <w:r>
        <w:t xml:space="preserve"> </w:t>
      </w:r>
      <w:r>
        <w:t xml:space="preserve">“</w:t>
      </w:r>
      <w:r>
        <w:t xml:space="preserve">implicit constitutional mandate to seek optimal accommodation.</w:t>
      </w:r>
      <w:r>
        <w:t xml:space="preserve">”</w:t>
      </w:r>
      <w:r>
        <w:rPr>
          <w:rStyle w:val="FootnoteReference"/>
        </w:rPr>
        <w:footnoteReference w:id="159"/>
      </w:r>
      <w:r>
        <w:t xml:space="preserve"> </w:t>
      </w:r>
      <w:r>
        <w:t xml:space="preserve">The claim here is narrower. Accommodation presupposes that each branch can verify what the other offers and can escalate at a cost the other must weigh. In the classified domain the executive also restricts who in Congress may see the information, so verification is impaired, not merely costly: within each episode the evidentiary baseline is its own production, and the cases show checking that works through negotiation, with real gains and real limits.</w:t>
      </w:r>
    </w:p>
    <w:p>
      <w:pPr>
        <w:pStyle w:val="BodyText"/>
      </w:pPr>
      <w:r>
        <w:t xml:space="preserve">The constraint has a second face. McCubbins and Schwartz pair fire-alarm oversight (decentralized monitoring triggered by outside complainants) with police-patrol oversight (Congress’s own direct examination of agency activity). The argument so far has described the conditions under which alarms are scarce and late in the classified domain: the access and standing rules that let outsiders see agency conduct and complain about it are missing or barred, so alarms arrive from outside those rules, and Congress then bargains over a record the executive still holds. A distinct problem arises one step later, at enforcement: where the prosecutor who would act answers to the institution whose conduct is at issue, agencies holding jurisdiction and evidence may decline to act. That is not a police-patrol failure; it is the paper’s separate enforcement-monopoly hypothesis.</w:t>
      </w:r>
      <w:r>
        <w:rPr>
          <w:rStyle w:val="FootnoteReference"/>
        </w:rPr>
        <w:footnoteReference w:id="160"/>
      </w:r>
    </w:p>
    <w:p>
      <w:pPr>
        <w:pStyle w:val="BodyText"/>
      </w:pPr>
      <w:r>
        <w:t xml:space="preserve">When detection does occur, durable individual accountability meets several distinct obstacles, and the cases do not show one cause for all of them.</w:t>
      </w:r>
      <w:r>
        <w:rPr>
          <w:vertAlign w:val="superscript"/>
        </w:rPr>
        <w:t xml:space="preserve">see n. 57</w:t>
      </w:r>
      <w:r>
        <w:rPr>
          <w:vertAlign w:val="superscript"/>
        </w:rPr>
        <w:t xml:space="preserve">,</w:t>
      </w:r>
      <w:r>
        <w:rPr>
          <w:vertAlign w:val="superscript"/>
        </w:rPr>
        <w:t xml:space="preserve">see n. 58</w:t>
      </w:r>
      <w:r>
        <w:rPr>
          <w:vertAlign w:val="superscript"/>
        </w:rPr>
        <w:t xml:space="preserve">,</w:t>
      </w:r>
      <w:r>
        <w:rPr>
          <w:vertAlign w:val="superscript"/>
        </w:rPr>
        <w:t xml:space="preserve">see n. 64</w:t>
      </w:r>
      <w:r>
        <w:rPr>
          <w:vertAlign w:val="superscript"/>
        </w:rPr>
        <w:t xml:space="preserve">,</w:t>
      </w:r>
      <w:r>
        <w:rPr>
          <w:vertAlign w:val="superscript"/>
        </w:rPr>
        <w:t xml:space="preserve">see n. 70</w:t>
      </w:r>
      <w:r>
        <w:rPr>
          <w:vertAlign w:val="superscript"/>
        </w:rPr>
        <w:t xml:space="preserve">,</w:t>
      </w:r>
      <w:r>
        <w:rPr>
          <w:rStyle w:val="FootnoteReference"/>
        </w:rPr>
        <w:footnoteReference w:id="161"/>
      </w:r>
      <w:r>
        <w:t xml:space="preserve"> </w:t>
      </w:r>
      <w:r>
        <w:t xml:space="preserve">(a) Charging discretion: the Durham closure and the absence of a charge after member requests concerning Clapper’s testimony are decisions by a prosecutor inside the executive. The Department stated that the admissible evidence was insufficient to obtain and sustain convictions in the two closed investigations; the record does not establish that institutional dependence caused that assessment. (b) Immunity: North and Poindexter were prosecuted by Independent Counsel and convicted; the convictions were set aside by judicial application of the Fifth Amendment to congressionally immunized testimony, not by prosecutorial refusal. (c) Clemency: the December 1992 pardons were a presidential act. (d) Professional discipline: the Office of Professional Responsibility’s findings against Yoo and Bybee were not adopted by Associate Deputy Attorney General Margolis. (e) Classification control over trial evidence: the central conspiracy and theft charges against North were dismissed when the Reagan Administration refused to declassify information, and the Fernandez prosecution was dismissed when the Attorney General barred disclosure of classified evidence; Walsh concluded that this discretion lets an attorney general block almost any potentially embarrassing prosecution that requires declassification.</w:t>
      </w:r>
      <w:r>
        <w:rPr>
          <w:rStyle w:val="FootnoteReference"/>
        </w:rPr>
        <w:footnoteReference w:id="162"/>
      </w:r>
      <w:r>
        <w:t xml:space="preserve"> </w:t>
      </w:r>
      <w:r>
        <w:t xml:space="preserve">Surviving Iran-Contra convictions and pleas, and the civil compulsion in</w:t>
      </w:r>
      <w:r>
        <w:t xml:space="preserve"> </w:t>
      </w:r>
      <w:r>
        <w:rPr>
          <w:iCs/>
          <w:i/>
        </w:rPr>
        <w:t xml:space="preserve">Phang</w:t>
      </w:r>
      <w:r>
        <w:t xml:space="preserve">, show that the obstacles are not absolute. The enforcement-monopoly hypothesis concerns (a) only. Its natural test compares periods with and without an available independent counsel: the Iran-Contra pleas for withholding information from Congress came under that statute, and the Helms plea came from an ordinary Department prosecution. Watergate is the earlier instance: a regulation-insulated prosecutor obtained what the Senate committee could not and charged senior aides, who were convicted.</w:t>
      </w:r>
      <w:r>
        <w:rPr>
          <w:rStyle w:val="FootnoteReference"/>
        </w:rPr>
        <w:footnoteReference w:id="163"/>
      </w:r>
      <w:r>
        <w:t xml:space="preserve"> </w:t>
      </w:r>
      <w:r>
        <w:t xml:space="preserve">It remains a hypothesis to be tested against charging records, not a finding.</w:t>
      </w:r>
    </w:p>
    <w:p>
      <w:pPr>
        <w:pStyle w:val="BodyText"/>
      </w:pPr>
      <w:r>
        <w:t xml:space="preserve">A possible reinforcing mechanism is doctrinal continuity: notification disputes generated opinions, directives, and minority views that later officials could invoke. The evidence supports continuity of an argument, not a citation chain or causation: the three audited Yoo documents cite none of the Iran-Contra notification materials, and Cheney himself pointed back to the minority report on December 20, 2005.</w:t>
      </w:r>
      <w:r>
        <w:rPr>
          <w:vertAlign w:val="superscript"/>
        </w:rPr>
        <w:t xml:space="preserve">see n. 54</w:t>
      </w:r>
      <w:r>
        <w:rPr>
          <w:vertAlign w:val="superscript"/>
        </w:rPr>
        <w:t xml:space="preserve">,</w:t>
      </w:r>
      <w:r>
        <w:rPr>
          <w:vertAlign w:val="superscript"/>
        </w:rPr>
        <w:t xml:space="preserve">see n. 55</w:t>
      </w:r>
    </w:p>
    <w:p>
      <w:pPr>
        <w:pStyle w:val="BodyText"/>
      </w:pPr>
      <w:r>
        <w:t xml:space="preserve">A further, untested hypothesis runs outward to public trust. It has separate links, each with its own observable test: that the public notices non-punishment of documented misconduct; that noticing it lowers confidence in the checking institutions specifically; and that lower confidence later increases tolerance of norm-breaking.</w:t>
      </w:r>
      <w:r>
        <w:rPr>
          <w:rStyle w:val="FootnoteReference"/>
        </w:rPr>
        <w:footnoteReference w:id="164"/>
      </w:r>
      <w:r>
        <w:t xml:space="preserve"> </w:t>
      </w:r>
      <w:r>
        <w:t xml:space="preserve">Public trust in government fell from 77% in 1964 to 17% in 2025, but the series is not monotone and combines surveys and modes; incumbency, economic performance, and issue salience are established rival influences, and this paper does not identify oversight’s share of any change.</w:t>
      </w:r>
      <w:r>
        <w:rPr>
          <w:rStyle w:val="FootnoteReference"/>
        </w:rPr>
        <w:footnoteReference w:id="165"/>
      </w:r>
      <w:r>
        <w:rPr>
          <w:vertAlign w:val="superscript"/>
        </w:rPr>
        <w:t xml:space="preserve">,</w:t>
      </w:r>
      <w:r>
        <w:rPr>
          <w:rStyle w:val="FootnoteReference"/>
        </w:rPr>
        <w:footnoteReference w:id="166"/>
      </w:r>
      <w:r>
        <w:t xml:space="preserve"> </w:t>
      </w:r>
      <w:r>
        <w:t xml:space="preserve">No causal claim about trust or backsliding is made.</w:t>
      </w:r>
    </w:p>
    <w:p>
      <w:pPr>
        <w:pStyle w:val="BodyText"/>
      </w:pPr>
      <w:r>
        <w:t xml:space="preserve">A related hypothesis concerns public attention: a large partial release may satisfy some demands while leaving other disputes unresolved. This paper has not measured that mechanism.</w:t>
      </w:r>
      <w:r>
        <w:rPr>
          <w:rStyle w:val="FootnoteReference"/>
        </w:rPr>
        <w:footnoteReference w:id="167"/>
      </w:r>
      <w:r>
        <w:t xml:space="preserve"> </w:t>
      </w:r>
      <w:r>
        <w:t xml:space="preserve">Substantive constraints can matter even when distrust persists, and reforms should be judged against their actual target: USA FREEDOM ended Section 215 bulk collection while separate Section 702 authorities persisted.</w:t>
      </w:r>
    </w:p>
    <w:p>
      <w:pPr>
        <w:pStyle w:val="BodyText"/>
      </w:pPr>
      <w:r>
        <w:t xml:space="preserve">Where federal responses leave demands unresolved, the demand can reappear elsewhere. In February 2026 the New Mexico House of Representatives established a Survivors’ Truth Commission by House Resolution 1, adopted 62 to 0, to investigate Epstein, his co-conspirators, and his facilitators in New Mexico. A state commission is not a substitute for federal oversight of federal agencies, and its interim report offers no final findings.</w:t>
      </w:r>
      <w:r>
        <w:rPr>
          <w:rStyle w:val="FootnoteReference"/>
        </w:rPr>
        <w:footnoteReference w:id="168"/>
      </w:r>
    </w:p>
    <w:p>
      <w:r>
        <w:pict>
          <v:rect style="width:0;height:1.5pt" o:hralign="center" o:hrstd="t" o:hr="t"/>
        </w:pict>
      </w:r>
    </w:p>
    <w:bookmarkEnd w:id="169"/>
    <w:bookmarkStart w:id="185" w:name="recommendations"/>
    <w:p>
      <w:pPr>
        <w:pStyle w:val="Heading2"/>
      </w:pPr>
      <w:r>
        <w:t xml:space="preserve">Recommendations</w:t>
      </w:r>
    </w:p>
    <w:p>
      <w:pPr>
        <w:pStyle w:val="FirstParagraph"/>
      </w:pPr>
      <w:r>
        <w:rPr>
          <w:bCs/>
          <w:b/>
        </w:rPr>
        <w:t xml:space="preserve">Conditional leverage reforms.</w:t>
      </w:r>
      <w:r>
        <w:t xml:space="preserve"> </w:t>
      </w:r>
      <w:r>
        <w:t xml:space="preserve">Proposals 1 to 6 address the unclassified disclosure setting of one statute, Proposal 7 congressional subpoenas generally; the historical cases, where secrecy and standing doctrines blocked private suits, give no assurance that the first six would transfer. Proposals 1 to 3 build, for that statute, the access and standing rules whose absence makes alarms scarce. Records remain in agency custody, DOJ ordinarily conducts federal litigation (28 U.S.C. § 516), and courts must have jurisdiction. The APA route used in</w:t>
      </w:r>
      <w:r>
        <w:t xml:space="preserve"> </w:t>
      </w:r>
      <w:r>
        <w:rPr>
          <w:iCs/>
          <w:i/>
        </w:rPr>
        <w:t xml:space="preserve">Phang</w:t>
      </w:r>
      <w:r>
        <w:t xml:space="preserve">, still contested on appeal, is the baseline. DOJ contests whether the Act carries a private right, whether FOIA forecloses APA review, and whether a journalist has standing; review proceeds on an administrative record, and in camera inspection rests on the court’s inherent authority. An express cause of action would settle the first two questions and could prescribe de novo review, the agency’s burden, in camera inspection, and fees for a plaintiff whose suit prompts release.</w:t>
      </w:r>
      <w:r>
        <w:rPr>
          <w:rStyle w:val="FootnoteReference"/>
        </w:rPr>
        <w:footnoteReference w:id="170"/>
      </w:r>
    </w:p>
    <w:p>
      <w:pPr>
        <w:pStyle w:val="BodyText"/>
      </w:pPr>
      <w:r>
        <w:rPr>
          <w:bCs/>
          <w:b/>
        </w:rPr>
        <w:t xml:space="preserve">Constitutional and remedial feasibility.</w:t>
      </w:r>
      <w:r>
        <w:t xml:space="preserve"> </w:t>
      </w:r>
      <w:r>
        <w:t xml:space="preserve">Each proposal regulates executive information control by statute. Where a refusal rests on a claimed exclusive power, Justice Jackson’s third</w:t>
      </w:r>
      <w:r>
        <w:t xml:space="preserve"> </w:t>
      </w:r>
      <w:r>
        <w:rPr>
          <w:iCs/>
          <w:i/>
        </w:rPr>
        <w:t xml:space="preserve">Youngstown</w:t>
      </w:r>
      <w:r>
        <w:t xml:space="preserve"> </w:t>
      </w:r>
      <w:r>
        <w:t xml:space="preserve">category requires that power to be both exclusive and conclusive; a claim of executive privilege is instead balanced against Congress’s need, as</w:t>
      </w:r>
      <w:r>
        <w:t xml:space="preserve"> </w:t>
      </w:r>
      <w:r>
        <w:rPr>
          <w:iCs/>
          <w:i/>
        </w:rPr>
        <w:t xml:space="preserve">Nixon v. Administrator of General Services</w:t>
      </w:r>
      <w:r>
        <w:t xml:space="preserve"> </w:t>
      </w:r>
      <w:r>
        <w:t xml:space="preserve">and</w:t>
      </w:r>
      <w:r>
        <w:t xml:space="preserve"> </w:t>
      </w:r>
      <w:r>
        <w:rPr>
          <w:iCs/>
          <w:i/>
        </w:rPr>
        <w:t xml:space="preserve">Mazars</w:t>
      </w:r>
      <w:r>
        <w:t xml:space="preserve"> </w:t>
      </w:r>
      <w:r>
        <w:t xml:space="preserve">describe, and that balance once defeated a Senate committee.</w:t>
      </w:r>
      <w:r>
        <w:rPr>
          <w:rStyle w:val="FootnoteReference"/>
        </w:rPr>
        <w:footnoteReference w:id="171"/>
      </w:r>
      <w:r>
        <w:t xml:space="preserve"> </w:t>
      </w:r>
      <w:r>
        <w:rPr>
          <w:iCs/>
          <w:i/>
        </w:rPr>
        <w:t xml:space="preserve">Trump v. United States</w:t>
      </w:r>
      <w:r>
        <w:t xml:space="preserve"> </w:t>
      </w:r>
      <w:r>
        <w:t xml:space="preserve">identifies one exclusive power, direction of the Department’s investigative and prosecutorial decisions; that limits any proposal to relocate charging authority and does not decide noncriminal disclosure duties. Standing differs by plaintiff.</w:t>
      </w:r>
      <w:r>
        <w:t xml:space="preserve"> </w:t>
      </w:r>
      <w:r>
        <w:rPr>
          <w:iCs/>
          <w:i/>
        </w:rPr>
        <w:t xml:space="preserve">TransUnion</w:t>
      </w:r>
      <w:r>
        <w:t xml:space="preserve"> </w:t>
      </w:r>
      <w:r>
        <w:t xml:space="preserve">bars suits by unharmed plaintiffs but distinguishes statutes that entitle the public to information, the theory accepted in</w:t>
      </w:r>
      <w:r>
        <w:t xml:space="preserve"> </w:t>
      </w:r>
      <w:r>
        <w:rPr>
          <w:iCs/>
          <w:i/>
        </w:rPr>
        <w:t xml:space="preserve">Phang</w:t>
      </w:r>
      <w:r>
        <w:t xml:space="preserve">; a requester must still show adverse effects from the denial, a State must assert its own right, and a Member faces</w:t>
      </w:r>
      <w:r>
        <w:t xml:space="preserve"> </w:t>
      </w:r>
      <w:r>
        <w:rPr>
          <w:iCs/>
          <w:i/>
        </w:rPr>
        <w:t xml:space="preserve">Raines v. Byrd</w:t>
      </w:r>
      <w:r>
        <w:t xml:space="preserve">. Relief differs by source:</w:t>
      </w:r>
      <w:r>
        <w:t xml:space="preserve"> </w:t>
      </w:r>
      <w:r>
        <w:rPr>
          <w:iCs/>
          <w:i/>
        </w:rPr>
        <w:t xml:space="preserve">Trump v. CASA</w:t>
      </w:r>
      <w:r>
        <w:t xml:space="preserve"> </w:t>
      </w:r>
      <w:r>
        <w:t xml:space="preserve">holds that universal injunctions likely exceed the equitable authority Congress has granted and reserves APA vacatur, and a new statute can specify its remedy within Article III limits. Any constitutional privilege, state-secrets claim, or sovereign-immunity bar must still be considered.</w:t>
      </w:r>
      <w:r>
        <w:rPr>
          <w:rStyle w:val="FootnoteReference"/>
        </w:rPr>
        <w:footnoteReference w:id="172"/>
      </w:r>
    </w:p>
    <w:p>
      <w:pPr>
        <w:numPr>
          <w:ilvl w:val="0"/>
          <w:numId w:val="1001"/>
        </w:numPr>
      </w:pPr>
      <w:r>
        <w:rPr>
          <w:bCs/>
          <w:b/>
        </w:rPr>
        <w:t xml:space="preserve">Deadline-triggered access review.</w:t>
      </w:r>
      <w:r>
        <w:t xml:space="preserve"> </w:t>
      </w:r>
      <w:r>
        <w:t xml:space="preserve">A proposed amendment should impose the accounting duty described under Self-declared Completion directly, with a date, and give a person denied information it requires to be published an express cause of action in district court to compel it. A person who then identifies a logged record, and a victim whose own records are withheld or whose protected information is threatened with release, could challenge the entry. The court would review de novo, with the burden on the agency, and could inspect records in camera. Missing the accounting date would entitle a plaintiff to a schedule order, not automatic release or liability; a fixed date to lodge the accounting, not the word</w:t>
      </w:r>
      <w:r>
        <w:t xml:space="preserve"> </w:t>
      </w:r>
      <w:r>
        <w:t xml:space="preserve">“</w:t>
      </w:r>
      <w:r>
        <w:t xml:space="preserve">expedited,</w:t>
      </w:r>
      <w:r>
        <w:t xml:space="preserve">”</w:t>
      </w:r>
      <w:r>
        <w:t xml:space="preserve"> </w:t>
      </w:r>
      <w:r>
        <w:t xml:space="preserve">gives the timetable its force. Refusal of an order would be enforced by civil contempt against a named officer, which the</w:t>
      </w:r>
      <w:r>
        <w:t xml:space="preserve"> </w:t>
      </w:r>
      <w:r>
        <w:rPr>
          <w:iCs/>
          <w:i/>
        </w:rPr>
        <w:t xml:space="preserve">Phang</w:t>
      </w:r>
      <w:r>
        <w:t xml:space="preserve"> </w:t>
      </w:r>
      <w:r>
        <w:t xml:space="preserve">court has so far called premature. The amendment should state whether it applies to the production already made and to pending actions, and should specify fees.</w:t>
      </w:r>
    </w:p>
    <w:p>
      <w:pPr>
        <w:numPr>
          <w:ilvl w:val="0"/>
          <w:numId w:val="1001"/>
        </w:numPr>
      </w:pPr>
      <w:r>
        <w:rPr>
          <w:bCs/>
          <w:b/>
        </w:rPr>
        <w:t xml:space="preserve">Protected judicial review of disputed exclusions.</w:t>
      </w:r>
      <w:r>
        <w:t xml:space="preserve"> </w:t>
      </w:r>
      <w:r>
        <w:t xml:space="preserve">Identified disputes and the unredacted record would go to the district court under secure procedures, with victim notice where feasible and an opportunity to object before access. A magistrate judge could assist only through a valid 28 U.S.C. § 636 referral, and a special master could be appointed under § 636(b)(2) or Federal Rule of Civil Procedure 53, with the statute saying who pays; neither is a freestanding disclosure tribunal.</w:t>
      </w:r>
      <w:r>
        <w:rPr>
          <w:rStyle w:val="FootnoteReference"/>
        </w:rPr>
        <w:footnoteReference w:id="173"/>
      </w:r>
      <w:r>
        <w:t xml:space="preserve"> </w:t>
      </w:r>
      <w:r>
        <w:t xml:space="preserve">The court would set a production schedule and review temporary grounds at intervals. A missing log would permit an order compelling the log, not forfeiture of victim privacy. The added value is systematic record-level review and a required segregability finding for each withholding: the enacted text confines withholding to</w:t>
      </w:r>
      <w:r>
        <w:t xml:space="preserve"> </w:t>
      </w:r>
      <w:r>
        <w:t xml:space="preserve">“</w:t>
      </w:r>
      <w:r>
        <w:t xml:space="preserve">segregable portions</w:t>
      </w:r>
      <w:r>
        <w:t xml:space="preserve">”</w:t>
      </w:r>
      <w:r>
        <w:t xml:space="preserve"> </w:t>
      </w:r>
      <w:r>
        <w:t xml:space="preserve">but requires no finding, explanation, or reviewer. Treatment of constitutional privileges, including the state-secrets privilege that</w:t>
      </w:r>
      <w:r>
        <w:t xml:space="preserve"> </w:t>
      </w:r>
      <w:r>
        <w:rPr>
          <w:iCs/>
          <w:i/>
        </w:rPr>
        <w:t xml:space="preserve">Fazaga</w:t>
      </w:r>
      <w:r>
        <w:t xml:space="preserve"> </w:t>
      </w:r>
      <w:r>
        <w:t xml:space="preserve">held a statutory in camera procedure did not displace, remains unresolved.</w:t>
      </w:r>
    </w:p>
    <w:p>
      <w:pPr>
        <w:numPr>
          <w:ilvl w:val="0"/>
          <w:numId w:val="1001"/>
        </w:numPr>
      </w:pPr>
      <w:r>
        <w:rPr>
          <w:bCs/>
          <w:b/>
        </w:rPr>
        <w:t xml:space="preserve">Collectible civil remedies for defined injuries.</w:t>
      </w:r>
      <w:r>
        <w:t xml:space="preserve"> </w:t>
      </w:r>
      <w:r>
        <w:t xml:space="preserve">Congress could authorize compensatory or bounded statutory damages for an identified victim or requester with concrete injury from a specified violation, after notice and a reasonable opportunity to cure. A claim against the United States requires an express money-damages waiver, which 5 U.S.C. § 702 does not supply, and the waiver must say whether damages require proof of actual harm and whether non-pecuniary harm counts, because the Court has read the Privacy Act’s damages waiver narrowly on both points. It must also name the source of payment: a judgment paid from the permanent Judgment Fund costs the Department nothing, so an incentive to comply requires payment from the agency’s own appropriations, as Congress provided for FOIA fee awards. Intent, defenses, limitation periods, and caps must be defined. No current authority for EFTA damages is asserted.</w:t>
      </w:r>
      <w:r>
        <w:rPr>
          <w:rStyle w:val="FootnoteReference"/>
        </w:rPr>
        <w:footnoteReference w:id="174"/>
      </w:r>
    </w:p>
    <w:p>
      <w:pPr>
        <w:pStyle w:val="FirstParagraph"/>
      </w:pPr>
      <w:r>
        <w:t xml:space="preserve">These first three proposals are minimal specifications, not operative statutory text. A complete annex covering definitions, jurisdiction, waiver, standing, service, deadlines, appeals, appropriations, effective date, application to the completed production and to pending actions, severability, and interaction clauses is deferred to a later edition. The statutory analogies show possible mechanisms, not that transplanting a label creates an effective remedy.</w:t>
      </w:r>
      <w:r>
        <w:rPr>
          <w:rStyle w:val="FootnoteReference"/>
        </w:rPr>
        <w:footnoteReference w:id="175"/>
      </w:r>
      <w:r>
        <w:rPr>
          <w:vertAlign w:val="superscript"/>
        </w:rPr>
        <w:t xml:space="preserve">,</w:t>
      </w:r>
      <w:r>
        <w:rPr>
          <w:rStyle w:val="FootnoteReference"/>
        </w:rPr>
        <w:footnoteReference w:id="176"/>
      </w:r>
    </w:p>
    <w:p>
      <w:pPr>
        <w:pStyle w:val="BodyText"/>
      </w:pPr>
      <w:r>
        <w:t xml:space="preserve">Every consequence in the package except the reporting and notice duties of Proposals 4 and 5 needs a plaintiff and a court (Appendix C, Tables C.4 and C.5). Consequences that attach without litigation and without touching victim protection are available: lapse of a temporary or non-enumerated withholding that is not logged and renewed, a burden on the agency to justify each entry, sworn certification by a named official, payment of any award from the Department’s own appropriations, and a rule that congressional silence does not ratify a compliance position. Their design is left to a later edition.</w:t>
      </w:r>
    </w:p>
    <w:p>
      <w:pPr>
        <w:numPr>
          <w:ilvl w:val="0"/>
          <w:numId w:val="1002"/>
        </w:numPr>
      </w:pPr>
      <w:r>
        <w:rPr>
          <w:bCs/>
          <w:b/>
        </w:rPr>
        <w:t xml:space="preserve">Auditable compliance reporting.</w:t>
      </w:r>
      <w:r>
        <w:t xml:space="preserve"> </w:t>
      </w:r>
      <w:r>
        <w:t xml:space="preserve">An auditor with an identified appointment process, conflict rules, secure access, and a separately stated budget would inspect processing records and report to Congress. The proposal must say which branch houses the auditor. A legislative-branch auditor on the Government Accountability Office model fits the functions in aid of Congress that</w:t>
      </w:r>
      <w:r>
        <w:t xml:space="preserve"> </w:t>
      </w:r>
      <w:r>
        <w:rPr>
          <w:iCs/>
          <w:i/>
        </w:rPr>
        <w:t xml:space="preserve">Slaughter</w:t>
      </w:r>
      <w:r>
        <w:t xml:space="preserve"> </w:t>
      </w:r>
      <w:r>
        <w:t xml:space="preserve">left open, but could hold no executive power and would inherit the limits on the Comptroller General’s access suit (31 U.S.C. § 716(d)); an auditor inside the Department is subject to the Attorney General’s authority to prohibit an audit that requires sensitive investigative information (5 U.S.C. § 413(a)). The statute would need enforceable record-preservation and access duties, and protected annexes would keep victim identities out of the audit. The Sarbanes-Oxley analogy supplies a reporting model, not automatic independence.</w:t>
      </w:r>
      <w:r>
        <w:rPr>
          <w:rStyle w:val="FootnoteReference"/>
        </w:rPr>
        <w:footnoteReference w:id="177"/>
      </w:r>
    </w:p>
    <w:p>
      <w:pPr>
        <w:numPr>
          <w:ilvl w:val="0"/>
          <w:numId w:val="1002"/>
        </w:numPr>
      </w:pPr>
      <w:r>
        <w:rPr>
          <w:bCs/>
          <w:b/>
        </w:rPr>
        <w:t xml:space="preserve">IG and whistleblower protections after</w:t>
      </w:r>
      <w:r>
        <w:rPr>
          <w:bCs/>
          <w:b/>
        </w:rPr>
        <w:t xml:space="preserve"> </w:t>
      </w:r>
      <w:r>
        <w:rPr>
          <w:iCs/>
          <w:i/>
          <w:bCs/>
          <w:b/>
        </w:rPr>
        <w:t xml:space="preserve">Slaughter</w:t>
      </w:r>
      <w:r>
        <w:rPr>
          <w:bCs/>
          <w:b/>
        </w:rPr>
        <w:t xml:space="preserve">.</w:t>
      </w:r>
      <w:r>
        <w:t xml:space="preserve"> </w:t>
      </w:r>
      <w:r>
        <w:rPr>
          <w:iCs/>
          <w:i/>
        </w:rPr>
        <w:t xml:space="preserve">Trump v. Slaughter</w:t>
      </w:r>
      <w:r>
        <w:t xml:space="preserve"> </w:t>
      </w:r>
      <w:r>
        <w:t xml:space="preserve">(June 29, 2026) invalidated the Federal Trade Commission’s removal restriction and overruled whatever remained of</w:t>
      </w:r>
      <w:r>
        <w:t xml:space="preserve"> </w:t>
      </w:r>
      <w:r>
        <w:rPr>
          <w:iCs/>
          <w:i/>
        </w:rPr>
        <w:t xml:space="preserve">Humphrey’s Executor</w:t>
      </w:r>
      <w:r>
        <w:t xml:space="preserve"> </w:t>
      </w:r>
      <w:r>
        <w:t xml:space="preserve">beyond its observation about bodies that exercise no executive power, while stating that Congress may establish agencies to assist it with its own functions and reserving, in Part III-B, investigative and informative functions in aid of Congress and the fate of officials not before the Court.</w:t>
      </w:r>
      <w:r>
        <w:rPr>
          <w:rStyle w:val="FootnoteReference"/>
        </w:rPr>
        <w:footnoteReference w:id="178"/>
      </w:r>
      <w:r>
        <w:t xml:space="preserve"> </w:t>
      </w:r>
      <w:r>
        <w:t xml:space="preserve">That reasoning places for-cause inspector-general (IG) protection in doubt without deciding it. The more defensible fallback is enforceable notice and reasons, preservation of pending records, direct lawful transmission to Congress, and court access for independently cognizable injuries. A rule barring closure of IG inquiries would in practice amend 5 U.S.C. § 413(a), and judicial review of urgent-concern or reprisal decisions would require changing provisions that now bar it or leave enforcement to the President; each requires separate analysis.</w:t>
      </w:r>
      <w:r>
        <w:rPr>
          <w:rStyle w:val="FootnoteReference"/>
        </w:rPr>
        <w:footnoteReference w:id="179"/>
      </w:r>
      <w:r>
        <w:rPr>
          <w:vertAlign w:val="superscript"/>
        </w:rPr>
        <w:t xml:space="preserve">,</w:t>
      </w:r>
      <w:r>
        <w:rPr>
          <w:rStyle w:val="FootnoteReference"/>
        </w:rPr>
        <w:footnoteReference w:id="180"/>
      </w:r>
    </w:p>
    <w:p>
      <w:pPr>
        <w:numPr>
          <w:ilvl w:val="0"/>
          <w:numId w:val="1002"/>
        </w:numPr>
      </w:pPr>
      <w:r>
        <w:rPr>
          <w:bCs/>
          <w:b/>
        </w:rPr>
        <w:t xml:space="preserve">Congressional analytical capacity with governed access.</w:t>
      </w:r>
      <w:r>
        <w:t xml:space="preserve"> </w:t>
      </w:r>
      <w:r>
        <w:t xml:space="preserve">An analysis platform could help Congress inspect large productions within lawful access entitlements. It needs funding, secure custody, evaluation against independent samples, and human review of errors; the detector’s tuning limits show that technology is itself a constraint. Contractors must have purpose-limited access and audit logs, and neither an artificial-intelligence result nor a framework-string match should release a record or establish a violation.</w:t>
      </w:r>
    </w:p>
    <w:p>
      <w:pPr>
        <w:numPr>
          <w:ilvl w:val="0"/>
          <w:numId w:val="1002"/>
        </w:numPr>
      </w:pPr>
      <w:r>
        <w:rPr>
          <w:bCs/>
          <w:b/>
        </w:rPr>
        <w:t xml:space="preserve">Civil enforcement of congressional subpoenas.</w:t>
      </w:r>
      <w:r>
        <w:t xml:space="preserve"> </w:t>
      </w:r>
      <w:r>
        <w:t xml:space="preserve">None of the first six proposals changes Congress’s position, the firmest constraint. A statute would have to supply a cause of action for either House, or a committee it authorizes by resolution, against an executive officer; jurisdiction reaching such officers, which for the Senate means amending its statute’s exclusion; and a merits standard, which for a constitutionally based privilege remains the courts’ balancing of the committee’s need against the executive’s interest.</w:t>
      </w:r>
      <w:r>
        <w:rPr>
          <w:rStyle w:val="FootnoteReference"/>
        </w:rPr>
        <w:footnoteReference w:id="181"/>
      </w:r>
      <w:r>
        <w:t xml:space="preserve"> </w:t>
      </w:r>
      <w:r>
        <w:t xml:space="preserve">The House passed only procedural and remedial rules in 2017: expedition, an optional three-judge court with direct appeal, a discretionary waiver of privilege claims missing from a timely log, which a statute should confine to statutory and common-law grounds, and penalties on an agency head for willful noncompliance, payable without Government funds (Appendix C, Table C.3). For the House, which already has a contested judicial route, the gain would be a settled cause of action, that court, and penalties; it would not alone have changed the January 2026 outcome, which turned on the committee majority’s choice. Two limits apply. The authorization step is at least a majority gate in either chamber, and no statute can supply a willing majority. The action changes the forum, not the law of privilege; personal penalties on an official following a presidential privilege instruction would meet the 1984 Office of Legal Counsel opinion’s reasoning.</w:t>
      </w:r>
    </w:p>
    <w:p>
      <w:pPr>
        <w:pStyle w:val="FirstParagraph"/>
      </w:pPr>
      <w:r>
        <w:rPr>
          <w:bCs/>
          <w:b/>
        </w:rPr>
        <w:t xml:space="preserve">Adverse users and privacy.</w:t>
      </w:r>
      <w:r>
        <w:t xml:space="preserve"> </w:t>
      </w:r>
      <w:r>
        <w:t xml:space="preserve">These mechanisms must work when the requester is a harasser, implicated associate, partisan state official or member, or a contractor seeking access beyond its assignment.</w:t>
      </w:r>
      <w:r>
        <w:rPr>
          <w:rStyle w:val="FootnoteReference"/>
        </w:rPr>
        <w:footnoteReference w:id="182"/>
      </w:r>
      <w:r>
        <w:t xml:space="preserve"> </w:t>
      </w:r>
      <w:r>
        <w:t xml:space="preserve">A victim’s identifying or intimate material must not become a penalty for agency delay, and the amendment should make withholding of victim-identifying material and child sexual abuse material mandatory; the enacted § 2(c)(1) only permits it. Protected submissions, independent pre-access review, victim notice and objections where feasible, restricted-use orders, and reviewable access decisions should precede disclosure. A route-by-route adverse-user test remains for a later edition.</w:t>
      </w:r>
    </w:p>
    <w:p>
      <w:pPr>
        <w:pStyle w:val="BodyText"/>
      </w:pPr>
      <w:r>
        <w:rPr>
          <w:bCs/>
          <w:b/>
        </w:rPr>
        <w:t xml:space="preserve">The pending EFTA II bills.</w:t>
      </w:r>
      <w:r>
        <w:t xml:space="preserve"> </w:t>
      </w:r>
      <w:r>
        <w:t xml:space="preserve">EFTA II (H.R. 9694; S. 5005) would bar common-law privilege as a withholding ground, change</w:t>
      </w:r>
      <w:r>
        <w:t xml:space="preserve"> </w:t>
      </w:r>
      <w:r>
        <w:t xml:space="preserve">“</w:t>
      </w:r>
      <w:r>
        <w:t xml:space="preserve">All redactions</w:t>
      </w:r>
      <w:r>
        <w:t xml:space="preserve">”</w:t>
      </w:r>
      <w:r>
        <w:t xml:space="preserve"> </w:t>
      </w:r>
      <w:r>
        <w:t xml:space="preserve">to</w:t>
      </w:r>
      <w:r>
        <w:t xml:space="preserve"> </w:t>
      </w:r>
      <w:r>
        <w:t xml:space="preserve">“</w:t>
      </w:r>
      <w:r>
        <w:t xml:space="preserve">Each redaction</w:t>
      </w:r>
      <w:r>
        <w:t xml:space="preserve">”</w:t>
      </w:r>
      <w:r>
        <w:t xml:space="preserve"> </w:t>
      </w:r>
      <w:r>
        <w:t xml:space="preserve">in § 2(c)(2), strike § 2(c)(1)(E), and add § 4 causes of action for state officers, victims, and individual Members of Congress.</w:t>
      </w:r>
      <w:r>
        <w:rPr>
          <w:rStyle w:val="FootnoteReference"/>
        </w:rPr>
        <w:footnoteReference w:id="183"/>
      </w:r>
      <w:r>
        <w:t xml:space="preserve"> </w:t>
      </w:r>
      <w:r>
        <w:t xml:space="preserve">The privilege bar would resolve the construction dispute prospectively;</w:t>
      </w:r>
      <w:r>
        <w:t xml:space="preserve"> </w:t>
      </w:r>
      <w:r>
        <w:t xml:space="preserve">“</w:t>
      </w:r>
      <w:r>
        <w:t xml:space="preserve">Each redaction</w:t>
      </w:r>
      <w:r>
        <w:t xml:space="preserve">”</w:t>
      </w:r>
      <w:r>
        <w:t xml:space="preserve"> </w:t>
      </w:r>
      <w:r>
        <w:t xml:space="preserve">would not itself supply an identifier, ground, or deadline. A State may not sue the United States as parens patriae for its citizens, though it may assert its own federal rights, such as § 4(c)(1) access to withheld records for its investigations. There is no separate waiver clause or damages measure; expressly authorizing monetary relief against the Attorney General supports a waiver, whose scope needs clarification.</w:t>
      </w:r>
      <w:r>
        <w:rPr>
          <w:rStyle w:val="FootnoteReference"/>
        </w:rPr>
        <w:footnoteReference w:id="184"/>
      </w:r>
      <w:r>
        <w:t xml:space="preserve"> </w:t>
      </w:r>
      <w:r>
        <w:t xml:space="preserve">A Member’s suit would rest on a personal access right, a standing basis the D.C. Circuit has not settled since</w:t>
      </w:r>
      <w:r>
        <w:t xml:space="preserve"> </w:t>
      </w:r>
      <w:r>
        <w:rPr>
          <w:iCs/>
          <w:i/>
        </w:rPr>
        <w:t xml:space="preserve">Raines v. Byrd</w:t>
      </w:r>
      <w:r>
        <w:t xml:space="preserve">. Neither the constitutionality, adoption, nor effectiveness of these proposals follows from the historical pattern.</w:t>
      </w:r>
    </w:p>
    <w:p>
      <w:r>
        <w:pict>
          <v:rect style="width:0;height:1.5pt" o:hralign="center" o:hrstd="t" o:hr="t"/>
        </w:pict>
      </w:r>
    </w:p>
    <w:bookmarkEnd w:id="185"/>
    <w:bookmarkStart w:id="186" w:name="conclusion"/>
    <w:p>
      <w:pPr>
        <w:pStyle w:val="Heading2"/>
      </w:pPr>
      <w:r>
        <w:t xml:space="preserve">Conclusion</w:t>
      </w:r>
    </w:p>
    <w:p>
      <w:pPr>
        <w:pStyle w:val="FirstParagraph"/>
      </w:pPr>
      <w:r>
        <w:t xml:space="preserve">The historical episodes document recurring constraints on congressional access and enforcement, alongside substantive gains in disclosure, policy, and institutional durability; observations in every case count against executive absorption of disclosure duties, and in none does the bargaining description fit where its rivals do not.</w:t>
      </w:r>
      <w:r>
        <w:t xml:space="preserve"> </w:t>
      </w:r>
      <w:r>
        <w:rPr>
          <w:iCs/>
          <w:i/>
        </w:rPr>
        <w:t xml:space="preserve">Constrained negotiated oversight</w:t>
      </w:r>
      <w:r>
        <w:t xml:space="preserve"> </w:t>
      </w:r>
      <w:r>
        <w:t xml:space="preserve">is a descriptive vocabulary and coding scheme for that pattern; the selected cases and indicators cannot validate an invariant equilibrium. The one contrast coded, scored on the Senate committee’s own demand, shows the same early conduct and a failed committee suit; its outcome came through a prosecutor insulated by regulation, using criminal process without classification barriers.</w:t>
      </w:r>
    </w:p>
    <w:p>
      <w:pPr>
        <w:pStyle w:val="BodyText"/>
      </w:pPr>
      <w:r>
        <w:t xml:space="preserve">EFTA shows agency choices, disputed legal constructions, and a party-line refusal of one enforcement route within a strong statutory mandate. It also shows preliminary judicial compulsion under the APA. The frozen corpus measures released pages, visual flags, and text classes; it cannot identify a responsive withheld residual or an overall compliance percentage. The March 2025 training proves an earlier instruction, not continuity after enactment. The September</w:t>
      </w:r>
      <w:r>
        <w:t xml:space="preserve"> </w:t>
      </w:r>
      <w:r>
        <w:rPr>
          <w:iCs/>
          <w:i/>
        </w:rPr>
        <w:t xml:space="preserve">Phang</w:t>
      </w:r>
      <w:r>
        <w:t xml:space="preserve"> </w:t>
      </w:r>
      <w:r>
        <w:t xml:space="preserve">orders prevent the paper from treating all enforcement as unavailable, while leaving substantive compliance and remedial durability open.</w:t>
      </w:r>
    </w:p>
    <w:p>
      <w:pPr>
        <w:pStyle w:val="BodyText"/>
      </w:pPr>
      <w:r>
        <w:t xml:space="preserve">The reform implication is conditional: clearer access rights, protected review, enforceable remedies, and a civil action for congressional subpoenas may change bargaining incentives, but must survive standing, immunity, removal, privacy, and appropriations constraints. Full legal drafting, full-text reading of the six books named in the literature review, and a venue-specific version remain for a later edition.</w:t>
      </w:r>
    </w:p>
    <w:p>
      <w:r>
        <w:pict>
          <v:rect style="width:0;height:1.5pt" o:hralign="center" o:hrstd="t" o:hr="t"/>
        </w:pict>
      </w:r>
    </w:p>
    <w:bookmarkEnd w:id="186"/>
    <w:bookmarkStart w:id="202" w:name="Xdbb31ac99d95c007cf076d04eaabdec3dac1a61"/>
    <w:p>
      <w:pPr>
        <w:pStyle w:val="Heading2"/>
      </w:pPr>
      <w:r>
        <w:t xml:space="preserve">Appendix A — EFTA Document Redactions Quantitative Analysis</w:t>
      </w:r>
    </w:p>
    <w:p>
      <w:pPr>
        <w:pStyle w:val="FirstParagraph"/>
      </w:pPr>
      <w:r>
        <w:rPr>
          <w:bCs/>
          <w:b/>
        </w:rPr>
        <w:t xml:space="preserve">Objective.</w:t>
      </w:r>
      <w:r>
        <w:t xml:space="preserve"> </w:t>
      </w:r>
      <w:r>
        <w:t xml:space="preserve">This appendix separates the measured release, visual redaction, and document-level text signals as of August 30, 2026. Section 2(c)(1) permits withholding or redaction of the segregable portions of records in five classes; Section 2(c)(2) requires written justifications for all redactions, published in the Federal Register and submitted to Congress. The measurements below do not establish a reconciled responsive universe or an overall compliance percentage.</w:t>
      </w:r>
    </w:p>
    <w:p>
      <w:pPr>
        <w:pStyle w:val="BodyText"/>
      </w:pPr>
      <w:r>
        <w:t xml:space="preserve">Three terms are used throughout and kept distinct, because the source text blurs them. A</w:t>
      </w:r>
      <w:r>
        <w:t xml:space="preserve"> </w:t>
      </w:r>
      <w:r>
        <w:rPr>
          <w:bCs/>
          <w:b/>
        </w:rPr>
        <w:t xml:space="preserve">redaction marker</w:t>
      </w:r>
      <w:r>
        <w:t xml:space="preserve"> </w:t>
      </w:r>
      <w:r>
        <w:t xml:space="preserve">is the evidence that a redaction occurred, either a box drawn on the page or the bare word</w:t>
      </w:r>
      <w:r>
        <w:t xml:space="preserve"> </w:t>
      </w:r>
      <w:r>
        <w:t xml:space="preserve">“</w:t>
      </w:r>
      <w:r>
        <w:t xml:space="preserve">REDACTED</w:t>
      </w:r>
      <w:r>
        <w:t xml:space="preserve">”</w:t>
      </w:r>
      <w:r>
        <w:t xml:space="preserve">; it says nothing about why. A</w:t>
      </w:r>
      <w:r>
        <w:t xml:space="preserve"> </w:t>
      </w:r>
      <w:r>
        <w:rPr>
          <w:bCs/>
          <w:b/>
        </w:rPr>
        <w:t xml:space="preserve">justification</w:t>
      </w:r>
      <w:r>
        <w:t xml:space="preserve"> </w:t>
      </w:r>
      <w:r>
        <w:t xml:space="preserve">is the text label stating the legal basis for a redaction, a Section 2(c) citation or an inherited framework marker such as a Privacy Act exemption or a</w:t>
      </w:r>
      <w:r>
        <w:t xml:space="preserve"> </w:t>
      </w:r>
      <w:r>
        <w:t xml:space="preserve">“</w:t>
      </w:r>
      <w:r>
        <w:t xml:space="preserve">FOIA Exempt</w:t>
      </w:r>
      <w:r>
        <w:t xml:space="preserve">”</w:t>
      </w:r>
      <w:r>
        <w:t xml:space="preserve"> </w:t>
      </w:r>
      <w:r>
        <w:t xml:space="preserve">stamp. A document is</w:t>
      </w:r>
      <w:r>
        <w:t xml:space="preserve"> </w:t>
      </w:r>
      <w:r>
        <w:rPr>
          <w:bCs/>
          <w:b/>
        </w:rPr>
        <w:t xml:space="preserve">redaction-marker-bearing</w:t>
      </w:r>
      <w:r>
        <w:t xml:space="preserve"> </w:t>
      </w:r>
      <w:r>
        <w:t xml:space="preserve">when its extracted text carries any redaction marker. The Justification Analysis classifies document-level text signals against a finite marker taxonomy; it does not adjudicate the legal basis for individual redactions or establish compliance with EFTA.</w:t>
      </w:r>
    </w:p>
    <w:bookmarkStart w:id="191" w:name="a.1-scope-corpus-and-limits"/>
    <w:p>
      <w:pPr>
        <w:pStyle w:val="Heading3"/>
      </w:pPr>
      <w:r>
        <w:t xml:space="preserve">A.1 Scope, Corpus, and Limits</w:t>
      </w:r>
    </w:p>
    <w:p>
      <w:pPr>
        <w:pStyle w:val="FirstParagraph"/>
      </w:pPr>
      <w:r>
        <w:t xml:space="preserve">The corpus analysed is the twelve-data-set release (DS1 through DS12) on the DOJ Disclosures page of the Justice Department’s Epstein Library, as counted through Bates EFTA02731789: 1,378,393 Bates-numbered PDF documents, EFTA00000001 through EFTA02731789, delivered as Concordance load files with per-volume image trees.</w:t>
      </w:r>
      <w:r>
        <w:rPr>
          <w:rStyle w:val="FootnoteReference"/>
        </w:rPr>
        <w:footnoteReference w:id="187"/>
      </w:r>
      <w:r>
        <w:t xml:space="preserve"> </w:t>
      </w:r>
      <w:r>
        <w:t xml:space="preserve">It is not everything DOJ has published under the Act. The project’s metadata catalogue (content version 283ac296cb1a, the version of September 7, 2026, queried on September 30 and October 1, 2026) holds two further sets above that number, which share no Bates number and no file although their ranges interleave. One is a separately held court-records collection, filed by case: 4,001 PDFs (40,776 pages), EFTA02731941 through EFTA02805767. The other is 8,220 PDFs (85,660 pages), EFTA02739953 through EFTA02858497, listed in the project’s fetch record of May 23, 2026, which has 8,240 rows because it logs 20 files twice; by file it places 8,124 in DOJ’s Court Records folder, 60 in Freedom of Information Act (FOIA), 16 in Prior DOJ Disclosures, and 20 in Data Set 12 itself, including the FD-302 reports EFTA02858481, EFTA02858491, and EFTA02858495 named in the June 25</w:t>
      </w:r>
      <w:r>
        <w:t xml:space="preserve"> </w:t>
      </w:r>
      <w:r>
        <w:rPr>
          <w:iCs/>
          <w:i/>
        </w:rPr>
        <w:t xml:space="preserve">Phang</w:t>
      </w:r>
      <w:r>
        <w:t xml:space="preserve"> </w:t>
      </w:r>
      <w:r>
        <w:t xml:space="preserve">order. The count is therefore incomplete even for Data Set 12, and those 12,221 PDFs (126,436 pages) are outside every figure reported here. For the 8,220, the fetch record, not a live inspection of the DOJ site, is the evidence for their location.</w:t>
      </w:r>
    </w:p>
    <w:p>
      <w:pPr>
        <w:pStyle w:val="BodyText"/>
      </w:pPr>
      <w:r>
        <w:t xml:space="preserve">As of August 30, 2026, the released production this analysis covers totals 2,729,256 pages, about 2.73 million, computed by summing per-document page counts across Data Sets 1 through 12. The full-population visual census, which walked the same production from its image inventory, counts 2,729,259 pages and successfully processed 2,729,175 of them, excluding 33 unprocessable corrupt files (81 pages, 0.003%) and dropping the three pages double-counted by the one duplicated three-page manifest row, the Data Set 8 duplicate.</w:t>
      </w:r>
      <w:r>
        <w:rPr>
          <w:vertAlign w:val="superscript"/>
        </w:rPr>
        <w:t xml:space="preserve">see n. 134</w:t>
      </w:r>
      <w:r>
        <w:t xml:space="preserve"> </w:t>
      </w:r>
      <w:r>
        <w:t xml:space="preserve">The small differences among these figures are bookkeeping, not measurement, and each analysis has its own denominator: 2,729,256 summed pages, 2,729,259 inventoried pages, 2,729,175 processed census pages, 2,729,178 join page-slots, and 2,729,246 coded pages in the separate white-box calculation. Compliance Letter #2 (p. 2) reports</w:t>
      </w:r>
      <w:r>
        <w:t xml:space="preserve"> </w:t>
      </w:r>
      <w:r>
        <w:rPr>
          <w:iCs/>
          <w:i/>
        </w:rPr>
        <w:t xml:space="preserve">“</w:t>
      </w:r>
      <w:r>
        <w:rPr>
          <w:iCs/>
          <w:i/>
        </w:rPr>
        <w:t xml:space="preserve">over 3 million</w:t>
      </w:r>
      <w:r>
        <w:rPr>
          <w:iCs/>
          <w:i/>
        </w:rPr>
        <w:t xml:space="preserve">”</w:t>
      </w:r>
      <w:r>
        <w:t xml:space="preserve"> </w:t>
      </w:r>
      <w:r>
        <w:t xml:space="preserve">pages released and</w:t>
      </w:r>
      <w:r>
        <w:t xml:space="preserve"> </w:t>
      </w:r>
      <w:r>
        <w:rPr>
          <w:iCs/>
          <w:i/>
        </w:rPr>
        <w:t xml:space="preserve">“</w:t>
      </w:r>
      <w:r>
        <w:rPr>
          <w:iCs/>
          <w:i/>
        </w:rPr>
        <w:t xml:space="preserve">nearly 3.5 million</w:t>
      </w:r>
      <w:r>
        <w:rPr>
          <w:iCs/>
          <w:i/>
        </w:rPr>
        <w:t xml:space="preserve">”</w:t>
      </w:r>
      <w:r>
        <w:t xml:space="preserve"> </w:t>
      </w:r>
      <w:r>
        <w:t xml:space="preserve">combined with prior productions, a wider population that includes media and earlier productions. The measured Bates-PDF total is lower than DOJ’s reported release total. The available records do not reconcile the two counting universes, and the Section 3 report supplies no page-total reconciliation, so both the released total and the roughly 6-million identified total remain unaudited executive figures.</w:t>
      </w:r>
    </w:p>
    <w:p>
      <w:pPr>
        <w:pStyle w:val="BodyText"/>
      </w:pPr>
      <w:r>
        <w:t xml:space="preserve">Two scope limits remain: image forms not tightly bounded by the dark-box detector, and unmeasured audio/video masking.</w:t>
      </w:r>
    </w:p>
    <w:p>
      <w:pPr>
        <w:pStyle w:val="BodyText"/>
      </w:pPr>
      <w:r>
        <w:rPr>
          <w:bCs/>
          <w:b/>
        </w:rPr>
        <w:t xml:space="preserve">The text-classification step reads text, not images.</w:t>
      </w:r>
      <w:r>
        <w:t xml:space="preserve"> </w:t>
      </w:r>
      <w:r>
        <w:t xml:space="preserve">The classifier cannot detect an image mask without a text signal. The visual census separately detects dark rectangles. The white-box recomputation, as of August 30, 2026, gives a point estimate near 0.1%, but its detector is not census-grade: precision is about 6%, three of 220 unique candidate pages are excluded as unclear, leaving 217 evaluable pages, and only twenty detector-negative pages form an unbiased miss sample. A prevalence of a few percent is not excluded.</w:t>
      </w:r>
      <w:r>
        <w:rPr>
          <w:rStyle w:val="FootnoteReference"/>
        </w:rPr>
        <w:footnoteReference w:id="188"/>
      </w:r>
      <w:r>
        <w:t xml:space="preserve"> </w:t>
      </w:r>
      <w:r>
        <w:t xml:space="preserve">The inspected white-box pages were identified as legacy FBI FOIA-style records; this limited provenance finding does not date every redaction or establish the complete later workflow.</w:t>
      </w:r>
      <w:r>
        <w:rPr>
          <w:rStyle w:val="FootnoteReference"/>
        </w:rPr>
        <w:footnoteReference w:id="189"/>
      </w:r>
      <w:r>
        <w:t xml:space="preserve"> </w:t>
      </w:r>
      <w:r>
        <w:t xml:space="preserve">The prior six- and twelve-span examples were generic visual annotations recoded as zero white-box spans, so they cannot establish white-box examples. The reported 64.5% estimator and interval remain dark-box-only; a separate white-box point lift near 0.1 percentage point is not incorporated into them.</w:t>
      </w:r>
    </w:p>
    <w:p>
      <w:pPr>
        <w:pStyle w:val="BodyText"/>
      </w:pPr>
      <w:r>
        <w:rPr>
          <w:bCs/>
          <w:b/>
        </w:rPr>
        <w:t xml:space="preserve">Audio, video, and images are released media this redaction analysis does not score for redaction.</w:t>
      </w:r>
      <w:r>
        <w:t xml:space="preserve"> </w:t>
      </w:r>
      <w:r>
        <w:t xml:space="preserve">DOJ reports more than 2,000 videos and 180,000 images. The project’s June 2026 transcription run processed 557 on-disk media files; its status CSV records 546</w:t>
      </w:r>
      <w:r>
        <w:t xml:space="preserve"> </w:t>
      </w:r>
      <w:r>
        <w:rPr>
          <w:rStyle w:val="VerbatimChar"/>
        </w:rPr>
        <w:t xml:space="preserve">ok</w:t>
      </w:r>
      <w:r>
        <w:t xml:space="preserve"> </w:t>
      </w:r>
      <w:r>
        <w:t xml:space="preserve">and 11</w:t>
      </w:r>
      <w:r>
        <w:t xml:space="preserve"> </w:t>
      </w:r>
      <w:r>
        <w:rPr>
          <w:rStyle w:val="VerbatimChar"/>
        </w:rPr>
        <w:t xml:space="preserve">no-audio</w:t>
      </w:r>
      <w:r>
        <w:t xml:space="preserve"> </w:t>
      </w:r>
      <w:r>
        <w:t xml:space="preserve">entries. Of the 546 nominal successes, 471 have zero transcript characters and only 75 have nonempty transcripts. Recorded durations total 446.938 hours among the</w:t>
      </w:r>
      <w:r>
        <w:t xml:space="preserve"> </w:t>
      </w:r>
      <w:r>
        <w:rPr>
          <w:rStyle w:val="VerbatimChar"/>
        </w:rPr>
        <w:t xml:space="preserve">ok</w:t>
      </w:r>
      <w:r>
        <w:t xml:space="preserve"> </w:t>
      </w:r>
      <w:r>
        <w:t xml:space="preserve">entries: 426.228 hours in the empty group and 20.710 hours in the nonempty group. A second accounting, regenerated June 15, 2026, covers 3,175 restored media files from Data Sets 9 through 11: 513 have transcript text, 906 have an audio stream with no speech recognized, and 1,756 have no audio stream. A successful process status is not intelligible-content coverage, and</w:t>
      </w:r>
      <w:r>
        <w:t xml:space="preserve"> </w:t>
      </w:r>
      <w:r>
        <w:rPr>
          <w:rStyle w:val="VerbatimChar"/>
        </w:rPr>
        <w:t xml:space="preserve">no-audio</w:t>
      </w:r>
      <w:r>
        <w:t xml:space="preserve"> </w:t>
      </w:r>
      <w:r>
        <w:t xml:space="preserve">is not a listening-based finding of silence.</w:t>
      </w:r>
      <w:r>
        <w:rPr>
          <w:rStyle w:val="FootnoteReference"/>
        </w:rPr>
        <w:footnoteReference w:id="190"/>
      </w:r>
      <w:r>
        <w:t xml:space="preserve"> </w:t>
      </w:r>
      <w:r>
        <w:t xml:space="preserve">Neither accounting measures audio bleeping or video masking, which remain unquantified and excluded from redaction estimates.</w:t>
      </w:r>
    </w:p>
    <w:bookmarkEnd w:id="191"/>
    <w:bookmarkStart w:id="194" w:name="a.2-methodology"/>
    <w:p>
      <w:pPr>
        <w:pStyle w:val="Heading3"/>
      </w:pPr>
      <w:r>
        <w:t xml:space="preserve">A.2 Methodology</w:t>
      </w:r>
    </w:p>
    <w:p>
      <w:pPr>
        <w:pStyle w:val="FirstParagraph"/>
      </w:pPr>
      <w:r>
        <w:t xml:space="preserve">The methodology has three parts, one for each analysis step.</w:t>
      </w:r>
    </w:p>
    <w:p>
      <w:pPr>
        <w:pStyle w:val="BodyText"/>
      </w:pPr>
      <w:r>
        <w:rPr>
          <w:bCs/>
          <w:b/>
        </w:rPr>
        <w:t xml:space="preserve">Release method.</w:t>
      </w:r>
      <w:r>
        <w:t xml:space="preserve"> </w:t>
      </w:r>
      <w:r>
        <w:t xml:space="preserve">The released-page denominator is the sum of per-document page counts across all twelve data sets, cross-checked against the visual census’s independent page inventory and against the public concordance. DOJ’s more-than-six-million-page figure is a gross potentially responsive collection with duplicates and overcollection. It is not a valid denominator for the measured release or for a withheld responsive residual. The audio and video inventory and transcription pipeline is described in the project’s media-accounting artifacts; it produced the file counts and transcription coverage cited in the Release Analysis.</w:t>
      </w:r>
    </w:p>
    <w:p>
      <w:pPr>
        <w:pStyle w:val="BodyText"/>
      </w:pPr>
      <w:r>
        <w:rPr>
          <w:bCs/>
          <w:b/>
        </w:rPr>
        <w:t xml:space="preserve">Redaction method (page-level visual census).</w:t>
      </w:r>
      <w:r>
        <w:t xml:space="preserve"> </w:t>
      </w:r>
      <w:r>
        <w:t xml:space="preserve">The August 30 accounting records 2,729,175 processed pages after corrupt-file exclusions and duplicate correction. A deterministic raster detector flags dark rectangles. Its six configurations were evaluated and tuned on the same 400-page adjudicated gold set; the selected confusion matrix is TP 261, FN 2, FP 14, TN 123, giving sensitivity 0.992 and specificity 0.898. These are tuning-set performance measures, not independent validation. The set contains DS9 (185), DS10 (141), DS11 (73), and DS12 (1), with no DS1–8 pages. The Rogan–Gladen correction transports those measured error rates to the census; bootstrap uncertainty is conditional on that transport and the selected detector.</w:t>
      </w:r>
      <w:r>
        <w:rPr>
          <w:rStyle w:val="FootnoteReference"/>
        </w:rPr>
        <w:footnoteReference w:id="192"/>
      </w:r>
      <w:r>
        <w:t xml:space="preserve"> </w:t>
      </w:r>
      <w:r>
        <w:t xml:space="preserve">Apparent flags are observable counts; the corrected estimate has no corresponding identified page set. White boxes are outside this detector’s target.</w:t>
      </w:r>
    </w:p>
    <w:p>
      <w:pPr>
        <w:pStyle w:val="BodyText"/>
      </w:pPr>
      <w:r>
        <w:rPr>
          <w:bCs/>
          <w:b/>
        </w:rPr>
        <w:t xml:space="preserve">Justification method (text-marker classification).</w:t>
      </w:r>
      <w:r>
        <w:t xml:space="preserve"> </w:t>
      </w:r>
      <w:r>
        <w:t xml:space="preserve">As of August 30, 2026, to classify document-level redaction and framework-language signals, without measuring whether individual redactions carried a legally sufficient justification, each PDF’s text layer was extracted with pdftotext -layout (optical character recognition used ocrmypdf and Tesseract, but nine manifest PDFs still lacked a text layer and had no completed OCR), and a deterministic, priority-ordered regular-expression rule-set assigned each document to one of nine clusters by the redaction-justification language in its text. The rule-set is reproducible: the same input text yields the same cluster every time, with no model or sampling dependence. Two populations were examined. Document Set A</w:t>
      </w:r>
      <w:r>
        <w:rPr>
          <w:vertAlign w:val="superscript"/>
        </w:rPr>
        <w:t xml:space="preserve">see n. 86</w:t>
      </w:r>
      <w:r>
        <w:t xml:space="preserve"> </w:t>
      </w:r>
      <w:r>
        <w:t xml:space="preserve">is the eight-phrase-query union, the 2,670 documents whose extracted text matches at least one of eight redaction-related phrase queries (</w:t>
      </w:r>
      <w:r>
        <w:t xml:space="preserve">“</w:t>
      </w:r>
      <w:r>
        <w:t xml:space="preserve">FOIA Exemption,</w:t>
      </w:r>
      <w:r>
        <w:t xml:space="preserve">”</w:t>
      </w:r>
      <w:r>
        <w:t xml:space="preserve"> </w:t>
      </w:r>
      <w:r>
        <w:t xml:space="preserve">“</w:t>
      </w:r>
      <w:r>
        <w:t xml:space="preserve">withheld pursuant to,</w:t>
      </w:r>
      <w:r>
        <w:t xml:space="preserve">”</w:t>
      </w:r>
      <w:r>
        <w:t xml:space="preserve"> </w:t>
      </w:r>
      <w:r>
        <w:t xml:space="preserve">“</w:t>
      </w:r>
      <w:r>
        <w:t xml:space="preserve">REDACTED,</w:t>
      </w:r>
      <w:r>
        <w:t xml:space="preserve">”</w:t>
      </w:r>
      <w:r>
        <w:t xml:space="preserve"> </w:t>
      </w:r>
      <w:r>
        <w:t xml:space="preserve">“</w:t>
      </w:r>
      <w:r>
        <w:t xml:space="preserve">Lugosch,</w:t>
      </w:r>
      <w:r>
        <w:t xml:space="preserve">”</w:t>
      </w:r>
      <w:r>
        <w:t xml:space="preserve"> </w:t>
      </w:r>
      <w:r>
        <w:t xml:space="preserve">“</w:t>
      </w:r>
      <w:r>
        <w:t xml:space="preserve">FOIA Exempt,</w:t>
      </w:r>
      <w:r>
        <w:t xml:space="preserve">”</w:t>
      </w:r>
      <w:r>
        <w:t xml:space="preserve"> </w:t>
      </w:r>
      <w:r>
        <w:t xml:space="preserve">“</w:t>
      </w:r>
      <w:r>
        <w:t xml:space="preserve">Tartaglione,</w:t>
      </w:r>
      <w:r>
        <w:t xml:space="preserve">”</w:t>
      </w:r>
      <w:r>
        <w:t xml:space="preserve"> </w:t>
      </w:r>
      <w:r>
        <w:t xml:space="preserve">“</w:t>
      </w:r>
      <w:r>
        <w:t xml:space="preserve">Privacy Act exemption,</w:t>
      </w:r>
      <w:r>
        <w:t xml:space="preserve">”</w:t>
      </w:r>
      <w:r>
        <w:t xml:space="preserve"> </w:t>
      </w:r>
      <w:r>
        <w:t xml:space="preserve">“</w:t>
      </w:r>
      <w:r>
        <w:t xml:space="preserve">proposed redactions</w:t>
      </w:r>
      <w:r>
        <w:t xml:space="preserve">”</w:t>
      </w:r>
      <w:r>
        <w:t xml:space="preserve">). Document Set B is the broader classifier-driven population, the 446,675 documents the classifier assigns to any cluster other than the no-signal cluster; Set A is the headline denominator. Set B was examined diagnostically, found dominated by confidentiality-disclaimer boilerplate, and retained to explain why a denominator comparison would mislead (A.3.3). The Set A and Set B tables reported here are those of the classification summary generated May 3, 2026. The June 24, 2026 runs classified all 1,378,393 documents in about seven minutes (426.677 seconds on ten workers) and then refined the privilege subclasses; their 444,298 privilege-language documents match the May summary.</w:t>
      </w:r>
    </w:p>
    <w:p>
      <w:pPr>
        <w:pStyle w:val="BodyText"/>
      </w:pPr>
      <w:r>
        <w:rPr>
          <w:bCs/>
          <w:b/>
        </w:rPr>
        <w:t xml:space="preserve">Reliability checks and classification provenance.</w:t>
      </w:r>
      <w:r>
        <w:t xml:space="preserve"> </w:t>
      </w:r>
      <w:r>
        <w:t xml:space="preserve">The nine processing-guidance items are nine copies of two documents: seven copies of a two-page guidance sheet and two scans of the March 21, 2025 training deck. Five copies were read in full and identified as guidance rather than records adjudicated for redaction legality. The privilege-language refinement is pinned to the June 24, 2026 privilege-subcluster classification run and its input hash.</w:t>
      </w:r>
      <w:r>
        <w:rPr>
          <w:rStyle w:val="FootnoteReference"/>
        </w:rPr>
        <w:footnoteReference w:id="193"/>
      </w:r>
      <w:r>
        <w:t xml:space="preserve"> </w:t>
      </w:r>
      <w:r>
        <w:t xml:space="preserve">Its 444,298 documents comprise 435,453</w:t>
      </w:r>
      <w:r>
        <w:t xml:space="preserve"> </w:t>
      </w:r>
      <w:r>
        <w:rPr>
          <w:rStyle w:val="VerbatimChar"/>
        </w:rPr>
        <w:t xml:space="preserve">DISCLAIMER_ONLY</w:t>
      </w:r>
      <w:r>
        <w:t xml:space="preserve"> </w:t>
      </w:r>
      <w:r>
        <w:t xml:space="preserve">(98.01%), 346</w:t>
      </w:r>
      <w:r>
        <w:t xml:space="preserve"> </w:t>
      </w:r>
      <w:r>
        <w:rPr>
          <w:rStyle w:val="VerbatimChar"/>
        </w:rPr>
        <w:t xml:space="preserve">PRIV_REDACTION_CONTEXT</w:t>
      </w:r>
      <w:r>
        <w:t xml:space="preserve">, 3,788</w:t>
      </w:r>
      <w:r>
        <w:t xml:space="preserve"> </w:t>
      </w:r>
      <w:r>
        <w:rPr>
          <w:rStyle w:val="VerbatimChar"/>
        </w:rPr>
        <w:t xml:space="preserve">PRIV_PRESENT_BUT_NOT_REDACTION_CONTEXT</w:t>
      </w:r>
      <w:r>
        <w:t xml:space="preserve">, and 4,711</w:t>
      </w:r>
      <w:r>
        <w:t xml:space="preserve"> </w:t>
      </w:r>
      <w:r>
        <w:rPr>
          <w:rStyle w:val="VerbatimChar"/>
        </w:rPr>
        <w:t xml:space="preserve">PRIV_PRESENT_NO_DISCLAIMER_NO_CONTEXT</w:t>
      </w:r>
      <w:r>
        <w:t xml:space="preserve">. The four classes sum exactly to the denominator. A context label still does not adjudicate a privilege claim; the intermediate classes must not be silently collapsed into a binary justification/no-justification result. The manifest and row-level inputs take precedence over stale overview counts.</w:t>
      </w:r>
    </w:p>
    <w:p>
      <w:pPr>
        <w:pStyle w:val="BodyText"/>
      </w:pPr>
      <w:r>
        <w:rPr>
          <w:bCs/>
          <w:b/>
        </w:rPr>
        <w:t xml:space="preserve">Reproduction.</w:t>
      </w:r>
      <w:r>
        <w:t xml:space="preserve"> </w:t>
      </w:r>
      <w:r>
        <w:t xml:space="preserve">The classification inputs, scripts, run manifests, and selected outputs are held with the local review materials and are available on request, subject to applicable access restrictions. No durable public archive, DOI, or publicly accessible analysis repository is established here. The notes identify versions and files where possible; published DOJ records and court orders are independently accessible. Reproducibility is therefore limited by access to the local analysis substrate, not presented as already satisfied by a public repository.</w:t>
      </w:r>
    </w:p>
    <w:bookmarkEnd w:id="194"/>
    <w:bookmarkStart w:id="199" w:name="a.3-findings"/>
    <w:p>
      <w:pPr>
        <w:pStyle w:val="Heading3"/>
      </w:pPr>
      <w:r>
        <w:t xml:space="preserve">A.3 Findings</w:t>
      </w:r>
    </w:p>
    <w:bookmarkStart w:id="195" w:name="a.3.1-release-analysis"/>
    <w:p>
      <w:pPr>
        <w:pStyle w:val="Heading4"/>
      </w:pPr>
      <w:r>
        <w:t xml:space="preserve">A.3.1 Release Analysis</w:t>
      </w:r>
    </w:p>
    <w:p>
      <w:pPr>
        <w:pStyle w:val="FirstParagraph"/>
      </w:pPr>
      <w:r>
        <w:t xml:space="preserve">As of August 30, 2026, the measured released production is 2,729,256 pages. DOJ’s gross potentially responsive collection exceeds six million pages and includes duplicates and overcollection. The difference is not a population of responsive records withheld in full, and no unreleased share is established. The Section 3 Report supplies no page count reconciling the measured release with DOJ’s reported release totals.</w:t>
      </w:r>
      <w:r>
        <w:rPr>
          <w:vertAlign w:val="superscript"/>
        </w:rPr>
        <w:t xml:space="preserve">see n. 77</w:t>
      </w:r>
      <w:r>
        <w:rPr>
          <w:vertAlign w:val="superscript"/>
        </w:rPr>
        <w:t xml:space="preserve">,</w:t>
      </w:r>
      <w:r>
        <w:rPr>
          <w:vertAlign w:val="superscript"/>
        </w:rPr>
        <w:t xml:space="preserve">see n. 78</w:t>
      </w:r>
    </w:p>
    <w:p>
      <w:pPr>
        <w:pStyle w:val="BodyText"/>
      </w:pPr>
      <w:r>
        <w:t xml:space="preserve">The released media are distinct from this PDF-page analysis. Of 557 on-disk files in the first transcription accounting, only 75 have nonempty transcript output; 471 nominal successes are empty and 11 report no audio. In the second accounting of 3,175 restored files, 513 have transcript text. The transcripts therefore cover a small, selected portion of recorded content and cannot support corpus-wide negative findings.</w:t>
      </w:r>
      <w:r>
        <w:rPr>
          <w:vertAlign w:val="superscript"/>
        </w:rPr>
        <w:t xml:space="preserve">see n. 137</w:t>
      </w:r>
      <w:r>
        <w:t xml:space="preserve"> </w:t>
      </w:r>
      <w:r>
        <w:t xml:space="preserve">Media redaction remains unmeasured.</w:t>
      </w:r>
    </w:p>
    <w:bookmarkEnd w:id="195"/>
    <w:bookmarkStart w:id="197" w:name="a.3.2-redaction-analysis"/>
    <w:p>
      <w:pPr>
        <w:pStyle w:val="Heading4"/>
      </w:pPr>
      <w:r>
        <w:t xml:space="preserve">A.3.2 Redaction Analysis</w:t>
      </w:r>
    </w:p>
    <w:p>
      <w:pPr>
        <w:pStyle w:val="FirstParagraph"/>
      </w:pPr>
      <w:r>
        <w:t xml:space="preserve">How many released page-slots carry dark-box flags? The visual census counts those flags across all 2,729,175 processed pages; it does not verify every flagged page as redacted.</w:t>
      </w:r>
    </w:p>
    <w:p>
      <w:pPr>
        <w:pStyle w:val="BodyText"/>
      </w:pPr>
      <w:r>
        <w:t xml:space="preserve">The</w:t>
      </w:r>
      <w:r>
        <w:t xml:space="preserve"> </w:t>
      </w:r>
      <w:r>
        <w:rPr>
          <w:bCs/>
          <w:b/>
        </w:rPr>
        <w:t xml:space="preserve">apparent</w:t>
      </w:r>
      <w:r>
        <w:t xml:space="preserve"> </w:t>
      </w:r>
      <w:r>
        <w:t xml:space="preserve">result, the exact pages the detector flagged, is that 1,845,330 pages (67.6%) carry at least one dark-box flag. The apparent rate counts dark-box flags only. White-box prevalence is a separate point estimate with a wide upper bound and is not incorporated into the corrected dark-box rate. Joining the census against the text-marker classification shows the joint distribution of flags and text markers: 1,842,147 pages (67.50%) carry a dark-box flag with no text marker, only 3,186 pages (0.12%) carry both a flag and a text marker, 2,252 pages (0.08%) carry a text marker with no detected box, and 881,593 pages (32.30%) carry neither a dark-box flag nor a text marker. These four categories sum to 2,729,178 rather than the 2,729,175 censused pages because the census-to-classification join universe is 2,729,178 page-slots: the one duplicated three-page manifest row (A.1) enters the join twice, double-counting three pages. The three-page difference is bookkeeping, not measurement.</w:t>
      </w:r>
    </w:p>
    <w:p>
      <w:pPr>
        <w:pStyle w:val="BodyText"/>
      </w:pPr>
      <w:r>
        <w:t xml:space="preserve">The</w:t>
      </w:r>
      <w:r>
        <w:t xml:space="preserve"> </w:t>
      </w:r>
      <w:r>
        <w:rPr>
          <w:bCs/>
          <w:b/>
        </w:rPr>
        <w:t xml:space="preserve">corrected</w:t>
      </w:r>
      <w:r>
        <w:t xml:space="preserve"> </w:t>
      </w:r>
      <w:r>
        <w:t xml:space="preserve">dark-box estimate is 64.5% (95% calibration interval 62.0–66.6%), as of August 30, 2026. Its complement, 35.5%, estimates absence of dark boxes, not absence of all redaction. The image-only join cell is an uncorrected 67.498%; it has no separately calibrated 64% estimator. White-box prevalence remains incompletely bounded and is outside the dark-box estimator and interval.</w:t>
      </w:r>
      <w:r>
        <w:rPr>
          <w:vertAlign w:val="superscript"/>
        </w:rPr>
        <w:t xml:space="preserve">see n. 136</w:t>
      </w:r>
    </w:p>
    <w:p>
      <w:pPr>
        <w:pStyle w:val="BodyText"/>
      </w:pPr>
      <w:r>
        <w:t xml:space="preserve">The detector is computationally practical but its performance remains design-dependent. The 400-page gold set was also used to select among six configurations, so the 64.5% correction may inherit selection optimism. An independently described 120-page manual re-code returned 68.3% (95% interval 59.6–76.0%); overlap with a broad interval is not proof of transportability. Earlier vision-model estimates covered different populations or had incomplete recall and are not interchangeable validation studies.</w:t>
      </w:r>
      <w:r>
        <w:rPr>
          <w:rStyle w:val="FootnoteReference"/>
        </w:rPr>
        <w:footnoteReference w:id="196"/>
      </w:r>
      <w:r>
        <w:t xml:space="preserve"> </w:t>
      </w:r>
      <w:r>
        <w:t xml:space="preserve">A held-out, dataset-stratified audit would be needed to establish census-wide performance independently; this revision does not claim to have run one.</w:t>
      </w:r>
    </w:p>
    <w:p>
      <w:pPr>
        <w:pStyle w:val="BodyText"/>
      </w:pPr>
      <w:r>
        <w:rPr>
          <w:bCs/>
          <w:b/>
        </w:rPr>
        <w:t xml:space="preserve">Transport sensitivity (illustrations, not confidence bounds).</w:t>
      </w:r>
      <w:r>
        <w:t xml:space="preserve"> </w:t>
      </w:r>
      <w:r>
        <w:t xml:space="preserve">With apparent prevalence about 0.676, the Rogan–Gladen formula is</w:t>
      </w:r>
      <w:r>
        <w:t xml:space="preserve"> </w:t>
      </w:r>
      <w:r>
        <w:rPr>
          <w:rStyle w:val="VerbatimChar"/>
        </w:rPr>
        <w:t xml:space="preserve">(apparent + specificity - 1) / (sensitivity + specificity - 1)</w:t>
      </w:r>
      <w:r>
        <w:t xml:space="preserve">. Holding sensitivity at 0.992 and varying specificity from 0.84 to 0.96 gives approximately 62.0% to 66.8%; holding specificity at 0.898 and lowering sensitivity to 0.97 gives about 66.1%. These scenarios show how plausible error-rate shifts alter the estimate; they are not empirical DS1–8 rates or a substitute for a transport audit. Data Sets 1–8, absent from the tuning set, hold only 39,016 of 2,729,175 pages (1.43%), so transport error there can move the corrected estimate by about 1.4 points at most. The published 62.0–66.6% calibration interval excludes model selection, dataset transport, and unmeasured white-box error.</w:t>
      </w:r>
    </w:p>
    <w:p>
      <w:pPr>
        <w:pStyle w:val="BodyText"/>
      </w:pPr>
      <w:r>
        <w:t xml:space="preserve">The join has 5,438 text-marker-bearing page-slots (0.199%) as of August 30, 2026: 3,186 with a visual flag and 2,252 without one. Most detector flags fall in the image-only cell, which is why the text-based Justification Analysis sees so little of the detected dark-box activity. This is a distribution of flags and markers, not a count of verified redactions or legally sufficient justifications.</w:t>
      </w:r>
    </w:p>
    <w:bookmarkEnd w:id="197"/>
    <w:bookmarkStart w:id="198" w:name="a.3.3-justification-analysis"/>
    <w:p>
      <w:pPr>
        <w:pStyle w:val="Heading4"/>
      </w:pPr>
      <w:r>
        <w:t xml:space="preserve">A.3.3 Justification Analysis</w:t>
      </w:r>
    </w:p>
    <w:p>
      <w:pPr>
        <w:pStyle w:val="FirstParagraph"/>
      </w:pPr>
      <w:r>
        <w:t xml:space="preserve">As of August 30, 2026, Set A contains 2,670 documents selected by eight phrase queries, including incidental hits and 181 C0 no-signal documents. Table 12 reports classifier assignments, not adjudicated legal justifications. The 883 framework-language assignments and 1,576 fallback assignments do not establish statutory justification present versus absent.</w:t>
      </w:r>
    </w:p>
    <w:p>
      <w:pPr>
        <w:pStyle w:val="BodyText"/>
      </w:pPr>
      <w:r>
        <w:rPr>
          <w:bCs/>
          <w:b/>
        </w:rPr>
        <w:t xml:space="preserve">Table 12. Document Set A classifier assignments (N=2,670 phrase-query documents, as of August 30, 2026; shares are shares of the query results, not prevalence)</w:t>
      </w:r>
      <w:r>
        <w:rPr>
          <w:vertAlign w:val="superscript"/>
          <w:bCs/>
          <w:b/>
        </w:rPr>
        <w:t xml:space="preserve">see n. 86</w:t>
      </w:r>
    </w:p>
    <w:tbl>
      <w:tblPr>
        <w:tblStyle w:val="Table"/>
        <w:tblW w:type="pct" w:w="5000"/>
        <w:tblLook w:firstRow="1" w:lastRow="0" w:firstColumn="0" w:lastColumn="0" w:noHBand="0" w:noVBand="0" w:val="0020"/>
        <w:jc w:val="start"/>
        <w:tblLayout w:type="autofit"/>
      </w:tblPr>
      <w:tblGrid>
        <w:gridCol w:w="2640"/>
        <w:gridCol w:w="2640"/>
        <w:gridCol w:w="2640"/>
      </w:tblGrid>
      <w:tr>
        <w:trPr>
          <w:tblHeader w:val="true"/>
          <w:cantSplit/>
        </w:trPr>
        <w:tc>
          <w:tcPr>
            <w:tcW w:type="pct" w:w="1667"/>
          </w:tcPr>
          <w:p>
            <w:pPr>
              <w:pStyle w:val="Compact"/>
              <w:jc w:val="left"/>
            </w:pPr>
            <w:r>
              <w:rPr>
                <w:b/>
                <w:sz w:val="20"/>
              </w:rPr>
              <w:t xml:space="preserve">Count (share of query results, not a prevalence)</w:t>
            </w:r>
          </w:p>
        </w:tc>
        <w:tc>
          <w:tcPr>
            <w:tcW w:type="pct" w:w="1667"/>
          </w:tcPr>
          <w:p>
            <w:pPr>
              <w:pStyle w:val="Compact"/>
              <w:jc w:val="left"/>
            </w:pPr>
            <w:r>
              <w:rPr>
                <w:b/>
                <w:sz w:val="20"/>
              </w:rPr>
              <w:t xml:space="preserve">Category</w:t>
            </w:r>
          </w:p>
        </w:tc>
        <w:tc>
          <w:tcPr>
            <w:tcW w:type="pct" w:w="1666"/>
          </w:tcPr>
          <w:p>
            <w:pPr>
              <w:pStyle w:val="Compact"/>
              <w:jc w:val="left"/>
            </w:pPr>
            <w:r>
              <w:rPr>
                <w:b/>
                <w:sz w:val="20"/>
              </w:rPr>
              <w:t xml:space="preserve">Description and examples</w:t>
            </w:r>
          </w:p>
        </w:tc>
      </w:tr>
      <w:tr>
        <w:trPr>
          <w:cantSplit/>
        </w:trPr>
        <w:tc>
          <w:tcPr>
            <w:tcW w:type="pct" w:w="1667"/>
          </w:tcPr>
          <w:p>
            <w:pPr>
              <w:pStyle w:val="Compact"/>
              <w:jc w:val="left"/>
            </w:pPr>
            <w:r>
              <w:rPr>
                <w:sz w:val="20"/>
              </w:rPr>
              <w:t xml:space="preserve">314 of 2,670 (11.76%)</w:t>
            </w:r>
          </w:p>
        </w:tc>
        <w:tc>
          <w:tcPr>
            <w:tcW w:type="pct" w:w="1667"/>
          </w:tcPr>
          <w:p>
            <w:pPr>
              <w:pStyle w:val="Compact"/>
              <w:jc w:val="left"/>
            </w:pPr>
            <w:r>
              <w:rPr>
                <w:sz w:val="20"/>
              </w:rPr>
              <w:t xml:space="preserve">Common-law-privilege language</w:t>
            </w:r>
          </w:p>
        </w:tc>
        <w:tc>
          <w:tcPr>
            <w:tcW w:type="pct" w:w="1666"/>
          </w:tcPr>
          <w:p>
            <w:pPr>
              <w:pStyle w:val="Compact"/>
              <w:jc w:val="left"/>
            </w:pPr>
            <w:r>
              <w:rPr>
                <w:sz w:val="20"/>
              </w:rPr>
              <w:t xml:space="preserve">C7 privilege-framework strings; not a count of the five statutory Section 2(c) bases. On the privilege-subclass refinement, 122 of the 314 are confidentiality-disclaimer boilerplate only, 100 carry privilege language outside a redaction context, and 92 carry it in a redaction context.</w:t>
            </w:r>
          </w:p>
        </w:tc>
      </w:tr>
      <w:tr>
        <w:trPr>
          <w:cantSplit/>
        </w:trPr>
        <w:tc>
          <w:tcPr>
            <w:tcW w:type="pct" w:w="1667"/>
          </w:tcPr>
          <w:p>
            <w:pPr>
              <w:pStyle w:val="Compact"/>
              <w:jc w:val="left"/>
            </w:pPr>
            <w:r>
              <w:rPr>
                <w:sz w:val="20"/>
              </w:rPr>
              <w:t xml:space="preserve">569 of 2,670 (21.31%)</w:t>
            </w:r>
          </w:p>
        </w:tc>
        <w:tc>
          <w:tcPr>
            <w:tcW w:type="pct" w:w="1667"/>
          </w:tcPr>
          <w:p>
            <w:pPr>
              <w:pStyle w:val="Compact"/>
              <w:jc w:val="left"/>
            </w:pPr>
            <w:r>
              <w:rPr>
                <w:sz w:val="20"/>
              </w:rPr>
              <w:t xml:space="preserve">Inherited-framework markers</w:t>
            </w:r>
          </w:p>
        </w:tc>
        <w:tc>
          <w:tcPr>
            <w:tcW w:type="pct" w:w="1666"/>
          </w:tcPr>
          <w:p>
            <w:pPr>
              <w:pStyle w:val="Compact"/>
              <w:jc w:val="left"/>
            </w:pPr>
            <w:r>
              <w:rPr>
                <w:sz w:val="20"/>
              </w:rPr>
              <w:t xml:space="preserve">“</w:t>
            </w:r>
            <w:r>
              <w:rPr>
                <w:sz w:val="20"/>
              </w:rPr>
              <w:t xml:space="preserve">Tartaglione</w:t>
            </w:r>
            <w:r>
              <w:rPr>
                <w:sz w:val="20"/>
              </w:rPr>
              <w:t xml:space="preserve">”</w:t>
            </w:r>
            <w:r>
              <w:rPr>
                <w:sz w:val="20"/>
              </w:rPr>
              <w:t xml:space="preserve"> </w:t>
            </w:r>
            <w:r>
              <w:rPr>
                <w:sz w:val="20"/>
              </w:rPr>
              <w:t xml:space="preserve">(Bureau of Prisons FOIA litigation exemptions);</w:t>
            </w:r>
            <w:r>
              <w:rPr>
                <w:sz w:val="20"/>
              </w:rPr>
              <w:t xml:space="preserve"> </w:t>
            </w:r>
            <w:r>
              <w:rPr>
                <w:sz w:val="20"/>
              </w:rPr>
              <w:t xml:space="preserve">“</w:t>
            </w:r>
            <w:r>
              <w:rPr>
                <w:sz w:val="20"/>
              </w:rPr>
              <w:t xml:space="preserve">Lugosch</w:t>
            </w:r>
            <w:r>
              <w:rPr>
                <w:sz w:val="20"/>
              </w:rPr>
              <w:t xml:space="preserve">”</w:t>
            </w:r>
            <w:r>
              <w:rPr>
                <w:sz w:val="20"/>
              </w:rPr>
              <w:t xml:space="preserve"> </w:t>
            </w:r>
            <w:r>
              <w:rPr>
                <w:sz w:val="20"/>
              </w:rPr>
              <w:t xml:space="preserve">(the Second Circuit sealing standard as applied in the Maxwell litigation);</w:t>
            </w:r>
            <w:r>
              <w:rPr>
                <w:sz w:val="20"/>
              </w:rPr>
              <w:t xml:space="preserve"> </w:t>
            </w:r>
            <w:r>
              <w:rPr>
                <w:sz w:val="20"/>
              </w:rPr>
              <w:t xml:space="preserve">“</w:t>
            </w:r>
            <w:r>
              <w:rPr>
                <w:sz w:val="20"/>
              </w:rPr>
              <w:t xml:space="preserve">Privacy Act exemption</w:t>
            </w:r>
            <w:r>
              <w:rPr>
                <w:sz w:val="20"/>
              </w:rPr>
              <w:t xml:space="preserve">”</w:t>
            </w:r>
            <w:r>
              <w:rPr>
                <w:sz w:val="20"/>
              </w:rPr>
              <w:t xml:space="preserve"> </w:t>
            </w:r>
            <w:r>
              <w:rPr>
                <w:sz w:val="20"/>
              </w:rPr>
              <w:t xml:space="preserve">(FBI investigative records under 5 U.S.C. § 552a(j)(2)); and FOIA-exemption cover/justification language. (FBI</w:t>
            </w:r>
            <w:r>
              <w:rPr>
                <w:sz w:val="20"/>
              </w:rPr>
              <w:t xml:space="preserve"> </w:t>
            </w:r>
            <w:r>
              <w:rPr>
                <w:sz w:val="20"/>
              </w:rPr>
              <w:t xml:space="preserve">“</w:t>
            </w:r>
            <w:r>
              <w:rPr>
                <w:sz w:val="20"/>
              </w:rPr>
              <w:t xml:space="preserve">FOIA Exempt / SBU</w:t>
            </w:r>
            <w:r>
              <w:rPr>
                <w:sz w:val="20"/>
              </w:rPr>
              <w:t xml:space="preserve">”</w:t>
            </w:r>
            <w:r>
              <w:rPr>
                <w:sz w:val="20"/>
              </w:rPr>
              <w:t xml:space="preserve"> </w:t>
            </w:r>
            <w:r>
              <w:rPr>
                <w:sz w:val="20"/>
              </w:rPr>
              <w:t xml:space="preserve">form-stamps, 2 documents, are counted in the Residual row.) These inherited frameworks are not themselves Section 2(c)(1) bases. The classifier does not establish that each marker was the operative basis for a DOJ redaction.</w:t>
            </w:r>
          </w:p>
        </w:tc>
      </w:tr>
      <w:tr>
        <w:trPr>
          <w:cantSplit/>
        </w:trPr>
        <w:tc>
          <w:tcPr>
            <w:tcW w:type="pct" w:w="1667"/>
          </w:tcPr>
          <w:p>
            <w:pPr>
              <w:pStyle w:val="Compact"/>
              <w:jc w:val="left"/>
            </w:pPr>
            <w:r>
              <w:rPr>
                <w:sz w:val="20"/>
              </w:rPr>
              <w:t xml:space="preserve">1,576 of 2,670 (59.03%)</w:t>
            </w:r>
          </w:p>
        </w:tc>
        <w:tc>
          <w:tcPr>
            <w:tcW w:type="pct" w:w="1667"/>
          </w:tcPr>
          <w:p>
            <w:pPr>
              <w:pStyle w:val="Compact"/>
              <w:jc w:val="left"/>
            </w:pPr>
            <w:r>
              <w:rPr>
                <w:sz w:val="20"/>
              </w:rPr>
              <w:t xml:space="preserve">C7 fallback with no matched inline framework</w:t>
            </w:r>
          </w:p>
        </w:tc>
        <w:tc>
          <w:tcPr>
            <w:tcW w:type="pct" w:w="1666"/>
          </w:tcPr>
          <w:p>
            <w:pPr>
              <w:pStyle w:val="Compact"/>
              <w:jc w:val="left"/>
            </w:pPr>
            <w:r>
              <w:rPr>
                <w:sz w:val="20"/>
              </w:rPr>
              <w:t xml:space="preserve">A finite-rule fallback, not proof of no justification; no finer unpinned subdivision is asserted here.</w:t>
            </w:r>
          </w:p>
        </w:tc>
      </w:tr>
      <w:tr>
        <w:trPr>
          <w:cantSplit/>
        </w:trPr>
        <w:tc>
          <w:tcPr>
            <w:tcW w:type="pct" w:w="1667"/>
          </w:tcPr>
          <w:p>
            <w:pPr>
              <w:pStyle w:val="Compact"/>
              <w:jc w:val="left"/>
            </w:pPr>
            <w:r>
              <w:rPr>
                <w:sz w:val="20"/>
              </w:rPr>
              <w:t xml:space="preserve">211 of 2,670 (7.90%)</w:t>
            </w:r>
          </w:p>
        </w:tc>
        <w:tc>
          <w:tcPr>
            <w:tcW w:type="pct" w:w="1667"/>
          </w:tcPr>
          <w:p>
            <w:pPr>
              <w:pStyle w:val="Compact"/>
              <w:jc w:val="left"/>
            </w:pPr>
            <w:r>
              <w:rPr>
                <w:sz w:val="20"/>
              </w:rPr>
              <w:t xml:space="preserve">Residual</w:t>
            </w:r>
          </w:p>
        </w:tc>
        <w:tc>
          <w:tcPr>
            <w:tcW w:type="pct" w:w="1666"/>
          </w:tcPr>
          <w:p>
            <w:pPr>
              <w:pStyle w:val="Compact"/>
              <w:jc w:val="left"/>
            </w:pPr>
            <w:r>
              <w:rPr>
                <w:sz w:val="20"/>
              </w:rPr>
              <w:t xml:space="preserve">Documents matching one of the eight phrase queries incidentally (181 no-signal documents: a legal citation, a policy discussion, a court opinion citing a redacted source, or an image-only redaction whose only textual hook is incidental), plus 19 internal DOJ FOIA processing emails, 2 FBI</w:t>
            </w:r>
            <w:r>
              <w:rPr>
                <w:sz w:val="20"/>
              </w:rPr>
              <w:t xml:space="preserve"> </w:t>
            </w:r>
            <w:r>
              <w:rPr>
                <w:sz w:val="20"/>
              </w:rPr>
              <w:t xml:space="preserve">“</w:t>
            </w:r>
            <w:r>
              <w:rPr>
                <w:sz w:val="20"/>
              </w:rPr>
              <w:t xml:space="preserve">FOIA Exempt / SBU</w:t>
            </w:r>
            <w:r>
              <w:rPr>
                <w:sz w:val="20"/>
              </w:rPr>
              <w:t xml:space="preserve">”</w:t>
            </w:r>
            <w:r>
              <w:rPr>
                <w:sz w:val="20"/>
              </w:rPr>
              <w:t xml:space="preserve"> </w:t>
            </w:r>
            <w:r>
              <w:rPr>
                <w:sz w:val="20"/>
              </w:rPr>
              <w:t xml:space="preserve">form-stamp documents, and the nine processing-guidance copies, which match phrases like</w:t>
            </w:r>
            <w:r>
              <w:rPr>
                <w:sz w:val="20"/>
              </w:rPr>
              <w:t xml:space="preserve"> </w:t>
            </w:r>
            <w:r>
              <w:rPr>
                <w:sz w:val="20"/>
              </w:rPr>
              <w:t xml:space="preserve">“</w:t>
            </w:r>
            <w:r>
              <w:rPr>
                <w:sz w:val="20"/>
              </w:rPr>
              <w:t xml:space="preserve">REDACTED</w:t>
            </w:r>
            <w:r>
              <w:rPr>
                <w:sz w:val="20"/>
              </w:rPr>
              <w:t xml:space="preserve">”</w:t>
            </w:r>
            <w:r>
              <w:rPr>
                <w:sz w:val="20"/>
              </w:rPr>
              <w:t xml:space="preserve"> </w:t>
            </w:r>
            <w:r>
              <w:rPr>
                <w:sz w:val="20"/>
              </w:rPr>
              <w:t xml:space="preserve">but are</w:t>
            </w:r>
            <w:r>
              <w:rPr>
                <w:sz w:val="20"/>
              </w:rPr>
              <w:t xml:space="preserve"> </w:t>
            </w:r>
            <w:r>
              <w:rPr>
                <w:iCs/>
                <w:i/>
                <w:sz w:val="20"/>
              </w:rPr>
              <w:t xml:space="preserve">meta-documents instructing how to redact</w:t>
            </w:r>
            <w:r>
              <w:rPr>
                <w:sz w:val="20"/>
              </w:rPr>
              <w:t xml:space="preserve"> </w:t>
            </w:r>
            <w:r>
              <w:rPr>
                <w:sz w:val="20"/>
              </w:rPr>
              <w:t xml:space="preserve">rather than redacted records.</w:t>
            </w:r>
          </w:p>
        </w:tc>
      </w:tr>
      <w:tr>
        <w:trPr>
          <w:cantSplit/>
        </w:trPr>
        <w:tc>
          <w:tcPr>
            <w:tcW w:type="pct" w:w="1667"/>
          </w:tcPr>
          <w:p>
            <w:pPr>
              <w:pStyle w:val="Compact"/>
              <w:jc w:val="left"/>
            </w:pPr>
            <w:r>
              <w:rPr>
                <w:bCs/>
                <w:b/>
                <w:sz w:val="20"/>
              </w:rPr>
              <w:t xml:space="preserve">2,670</w:t>
            </w:r>
          </w:p>
        </w:tc>
        <w:tc>
          <w:tcPr>
            <w:tcW w:type="pct" w:w="1667"/>
          </w:tcPr>
          <w:p>
            <w:pPr>
              <w:pStyle w:val="Compact"/>
              <w:jc w:val="left"/>
            </w:pPr>
            <w:r>
              <w:rPr>
                <w:bCs/>
                <w:b/>
                <w:sz w:val="20"/>
              </w:rPr>
              <w:t xml:space="preserve">(all phrase-query documents)</w:t>
            </w:r>
          </w:p>
        </w:tc>
        <w:tc>
          <w:tcPr>
            <w:tcW w:type="pct" w:w="1666"/>
          </w:tcPr>
          <w:p>
            <w:pPr>
              <w:pStyle w:val="Compact"/>
            </w:pPr>
          </w:p>
        </w:tc>
      </w:tr>
    </w:tbl>
    <w:p>
      <w:pPr>
        <w:pStyle w:val="BodyText"/>
      </w:pPr>
      <w:r>
        <w:t xml:space="preserve">Three findings come from the justification analysis.</w:t>
      </w:r>
    </w:p>
    <w:p>
      <w:pPr>
        <w:pStyle w:val="BodyText"/>
      </w:pPr>
      <w:r>
        <w:rPr>
          <w:bCs/>
          <w:b/>
        </w:rPr>
        <w:t xml:space="preserve">The largest assignment is the fallback class.</w:t>
      </w:r>
      <w:r>
        <w:t xml:space="preserve"> </w:t>
      </w:r>
      <w:r>
        <w:t xml:space="preserve">Its 1,576 documents are rule assignments, not independently verified bare-marker redactions. The 314 common-law-privilege assignments and 569 inherited-marker assignments establish framework-language classes, not 883 legally justified documents, and 122 of the 314 are disclaimer boilerplate only. The classifier supplies no validated statutory-justification rate.</w:t>
      </w:r>
    </w:p>
    <w:p>
      <w:pPr>
        <w:pStyle w:val="BodyText"/>
      </w:pPr>
      <w:r>
        <w:rPr>
          <w:bCs/>
          <w:b/>
        </w:rPr>
        <w:t xml:space="preserve">The inherited-marker count is fixed by the query design.</w:t>
      </w:r>
      <w:r>
        <w:t xml:space="preserve"> </w:t>
      </w:r>
      <w:r>
        <w:t xml:space="preserve">Set A contains 569 inherited-marker documents among 2,670 phrase-query records; across the whole corpus the same clusters hold 571 documents, so 569 of the 571 fall inside Set A because they contain the phrases that were searched for. Their share of Set A therefore measures the query design, not prevalence. Set B, the 446,675 documents assigned to any signal cluster, is dominated by confidentiality-disclaimer boilerplate (435,453 of its 444,298 privilege-language documents are disclaimer-only), so it is not a useful robustness denominator and no rate against it is reported. Neither set is a random sample of legally disputed redactions.</w:t>
      </w:r>
    </w:p>
    <w:p>
      <w:pPr>
        <w:pStyle w:val="BodyText"/>
      </w:pPr>
      <w:r>
        <w:rPr>
          <w:bCs/>
          <w:b/>
        </w:rPr>
        <w:t xml:space="preserve">A pre-EFTA processing instruction is documented.</w:t>
      </w:r>
      <w:r>
        <w:t xml:space="preserve"> </w:t>
      </w:r>
      <w:r>
        <w:t xml:space="preserve">The March 21, 2025 training (EFTA00172446, pp. 1, 6) directs boxes without exemptions on the page. It predates the statute, but does not establish later continuity or the impossibility of reconstructing justifications. The January 30 account of updated guidance is a rival explanation requiring dated workflow evidence. The August 27 notice and September 16 court order establish publication while leaving substantive adequacy contested.</w:t>
      </w:r>
      <w:r>
        <w:rPr>
          <w:vertAlign w:val="superscript"/>
        </w:rPr>
        <w:t xml:space="preserve">see n. 80</w:t>
      </w:r>
      <w:r>
        <w:rPr>
          <w:vertAlign w:val="superscript"/>
        </w:rPr>
        <w:t xml:space="preserve">,</w:t>
      </w:r>
      <w:r>
        <w:rPr>
          <w:vertAlign w:val="superscript"/>
        </w:rPr>
        <w:t xml:space="preserve">see n. 82</w:t>
      </w:r>
    </w:p>
    <w:p>
      <w:pPr>
        <w:pStyle w:val="BodyText"/>
      </w:pPr>
      <w:r>
        <w:t xml:space="preserve">A reader can inspect EFTA00172446 at the DOJ portal, using the document’s first page for its date and sixth page for the instruction. The earlier unpaginated white-box examples are omitted because a document identifier without the relevant image page does not adequately identify the claimed mask. This removes examples, not the separately qualified calibration result.</w:t>
      </w:r>
    </w:p>
    <w:p>
      <w:pPr>
        <w:pStyle w:val="BodyText"/>
      </w:pPr>
      <w:r>
        <w:t xml:space="preserve">The Section 3 Report separately invokes three common-law privileges and reports no withholding under § 2(c)(1)(E). Its preservation construction and the author’s contrary reading are analyzed in the main text. The January 30 privilege-based approximately 200,000-page figure is not a count of documents assigned to a privilege-language cluster, nor a disjoint withheld-only total. No public itemized reconciliation is established.</w:t>
      </w:r>
      <w:r>
        <w:rPr>
          <w:vertAlign w:val="superscript"/>
        </w:rPr>
        <w:t xml:space="preserve">see n. 87</w:t>
      </w:r>
    </w:p>
    <w:bookmarkEnd w:id="198"/>
    <w:bookmarkEnd w:id="199"/>
    <w:bookmarkStart w:id="200" w:name="a.4-conclusion"/>
    <w:p>
      <w:pPr>
        <w:pStyle w:val="Heading3"/>
      </w:pPr>
      <w:r>
        <w:t xml:space="preserve">A.4 Conclusion</w:t>
      </w:r>
    </w:p>
    <w:p>
      <w:pPr>
        <w:pStyle w:val="FirstParagraph"/>
      </w:pPr>
      <w:r>
        <w:t xml:space="preserve">Section 2(c)(2) provides that all redactions</w:t>
      </w:r>
      <w:r>
        <w:t xml:space="preserve"> </w:t>
      </w:r>
      <w:r>
        <w:t xml:space="preserve">“</w:t>
      </w:r>
      <w:r>
        <w:t xml:space="preserve">must be accompanied by a written justification published in the Federal Register and submitted to Congress.</w:t>
      </w:r>
      <w:r>
        <w:t xml:space="preserve">”</w:t>
      </w:r>
      <w:r>
        <w:t xml:space="preserve"> </w:t>
      </w:r>
      <w:r>
        <w:t xml:space="preserve">It does not expressly require every withholding to appear on that record or each justification to name a category, although DOJ’s December 19 letter (p. 4) promised</w:t>
      </w:r>
      <w:r>
        <w:t xml:space="preserve"> </w:t>
      </w:r>
      <w:r>
        <w:t xml:space="preserve">“</w:t>
      </w:r>
      <w:r>
        <w:t xml:space="preserve">an explanation for any redacted and withheld materials</w:t>
      </w:r>
      <w:r>
        <w:t xml:space="preserve">”</w:t>
      </w:r>
      <w:r>
        <w:t xml:space="preserve"> </w:t>
      </w:r>
      <w:r>
        <w:t xml:space="preserve">under that provision. The enumerated withholding bases and the publication requirement are separate textual obligations.</w:t>
      </w:r>
    </w:p>
    <w:p>
      <w:pPr>
        <w:pStyle w:val="BodyText"/>
      </w:pPr>
      <w:r>
        <w:t xml:space="preserve">As of August 30, 2026, the classifier assigns inherited-framework markers to 569 of the 2,670 phrase-query records, a share fixed by the query design and not a prevalence. The former 5% marker threshold is withdrawn: a marker need not state the operative withholding basis. Counts of pre-enactment guidance are likewise not a compliance test. DOJ’s account of retained original redactions also describes review; the records do not establish categorical absence of reconsideration.</w:t>
      </w:r>
    </w:p>
    <w:p>
      <w:pPr>
        <w:pStyle w:val="BodyText"/>
      </w:pPr>
      <w:r>
        <w:t xml:space="preserve">No overall compliance percentage is assigned. The earlier 84% noncompliance and 16% compliance estimates, along with their 54% floor and 46% ceiling, rested on incompatible denominators. DOJ’s gross collection cannot identify the responsive withheld residual. The corrected 64.5% dark-box estimate cannot classify each page’s legality or total redaction status. White-box prevalence remains incompletely bounded; audio and video masking is unmeasured. These gaps do not license a replacement compliance percentage.</w:t>
      </w:r>
    </w:p>
    <w:p>
      <w:pPr>
        <w:pStyle w:val="BodyText"/>
      </w:pPr>
      <w:r>
        <w:t xml:space="preserve">The earlier training, the privilege construction, and the absence of public record-level entries identify questions for audit and adjudication. They must not be converted into proof of post-enactment workflow continuity, a settled privilege holding, or a numerical compliance judgment. The September judicial record demonstrates active enforcement while leaving material disputes unresolved.</w:t>
      </w:r>
    </w:p>
    <w:bookmarkEnd w:id="200"/>
    <w:bookmarkStart w:id="201" w:name="a.5-references"/>
    <w:p>
      <w:pPr>
        <w:pStyle w:val="Heading3"/>
      </w:pPr>
      <w:r>
        <w:t xml:space="preserve">A.5 References</w:t>
      </w:r>
    </w:p>
    <w:p>
      <w:pPr>
        <w:pStyle w:val="FirstParagraph"/>
      </w:pPr>
      <w:r>
        <w:t xml:space="preserve">These references record where the analyzed data came from. Bates numbers refer to documents in the DOJ EFTA production.</w:t>
      </w:r>
    </w:p>
    <w:p>
      <w:pPr>
        <w:pStyle w:val="BodyText"/>
      </w:pPr>
      <w:r>
        <w:rPr>
          <w:bCs/>
          <w:b/>
        </w:rPr>
        <w:t xml:space="preserve">Governing statute.</w:t>
      </w:r>
      <w:r>
        <w:t xml:space="preserve"> </w:t>
      </w:r>
      <w:r>
        <w:t xml:space="preserve">Epstein Files Transparency Act, Pub. L. No. 119-38, 139 Stat. 656 (H.R. 4405), enacted November 19, 2025. Section 2(c)(1) permits withholding or redaction of the segregable portions of records in five classes; Section 2(c)(2) provides that all redactions</w:t>
      </w:r>
      <w:r>
        <w:t xml:space="preserve"> </w:t>
      </w:r>
      <w:r>
        <w:t xml:space="preserve">“</w:t>
      </w:r>
      <w:r>
        <w:t xml:space="preserve">must be accompanied by a written justification published in the Federal Register and submitted to Congress</w:t>
      </w:r>
      <w:r>
        <w:t xml:space="preserve">”</w:t>
      </w:r>
      <w:r>
        <w:t xml:space="preserve">; Section 3 requires a report to the House and Senate Judiciary Committees listing the categories of records released and withheld, a summary of redactions with legal basis, and the government officials and politically exposed persons named in the released materials.</w:t>
      </w:r>
    </w:p>
    <w:p>
      <w:pPr>
        <w:pStyle w:val="BodyText"/>
      </w:pPr>
      <w:r>
        <w:rPr>
          <w:bCs/>
          <w:b/>
        </w:rPr>
        <w:t xml:space="preserve">Primary data source.</w:t>
      </w:r>
      <w:r>
        <w:t xml:space="preserve"> </w:t>
      </w:r>
      <w:r>
        <w:t xml:space="preserve">U.S. Department of Justice, Epstein Library,</w:t>
      </w:r>
      <w:r>
        <w:t xml:space="preserve"> </w:t>
      </w:r>
      <w:r>
        <w:t xml:space="preserve">“</w:t>
      </w:r>
      <w:r>
        <w:t xml:space="preserve">DOJ Disclosures</w:t>
      </w:r>
      <w:r>
        <w:t xml:space="preserve">”</w:t>
      </w:r>
      <w:r>
        <w:t xml:space="preserve"> </w:t>
      </w:r>
      <w:r>
        <w:t xml:space="preserve">(Epstein Files Transparency Act (H.R. 4405), Data Sets 1–12), https://www.justice.gov/epstein/doj-disclosures. The production was released in twelve data sets (Data Set 1 through Data Set 12). As counted here it comprises 1,378,393 Bates-numbered PDF documents, Bates EFTA00000001 through EFTA02731789, delivered as Concordance load files; A.1 describes Bates-EFTA records outside that count.</w:t>
      </w:r>
    </w:p>
    <w:p>
      <w:pPr>
        <w:pStyle w:val="BodyText"/>
      </w:pPr>
      <w:r>
        <w:rPr>
          <w:bCs/>
          <w:b/>
        </w:rPr>
        <w:t xml:space="preserve">DOJ compliance instruments.</w:t>
      </w:r>
      <w:r>
        <w:t xml:space="preserve"> </w:t>
      </w:r>
      <w:r>
        <w:t xml:space="preserve">The framework the production is measured against is DOJ’s Section 3 Report and its two compliance letters: Letter #1 dated December 19, 2025, and Letter #2 dated January 30, 2026.</w:t>
      </w:r>
    </w:p>
    <w:p>
      <w:pPr>
        <w:pStyle w:val="BodyText"/>
      </w:pPr>
      <w:r>
        <w:rPr>
          <w:bCs/>
          <w:b/>
        </w:rPr>
        <w:t xml:space="preserve">Federal Register check.</w:t>
      </w:r>
      <w:r>
        <w:t xml:space="preserve"> </w:t>
      </w:r>
      <w:r>
        <w:t xml:space="preserve">DOJ’s August 27, 2026 notice republishes the Section 3 Report without Bates-level entries. In</w:t>
      </w:r>
      <w:r>
        <w:t xml:space="preserve"> </w:t>
      </w:r>
      <w:r>
        <w:rPr>
          <w:iCs/>
          <w:i/>
        </w:rPr>
        <w:t xml:space="preserve">Phang</w:t>
      </w:r>
      <w:r>
        <w:t xml:space="preserve">, ECF 43, pp. 17–18, the court discharged the publication show-cause requirement while reserving the notice’s substantive adequacy. The author’s itemization reading and DOJ’s categorical reading are distinguished in the main text.</w:t>
      </w:r>
    </w:p>
    <w:p>
      <w:r>
        <w:pict>
          <v:rect style="width:0;height:1.5pt" o:hralign="center" o:hrstd="t" o:hr="t"/>
        </w:pict>
      </w:r>
    </w:p>
    <w:bookmarkEnd w:id="201"/>
    <w:bookmarkEnd w:id="202"/>
    <w:bookmarkStart w:id="204" w:name="X1db2feda298b1bea6c5525c624220c797f1b52e"/>
    <w:p>
      <w:pPr>
        <w:pStyle w:val="Heading2"/>
      </w:pPr>
      <w:r>
        <w:t xml:space="preserve">Appendix B — Per-Indicator Coding Evidence (Historical Cases)</w:t>
      </w:r>
    </w:p>
    <w:p>
      <w:pPr>
        <w:pStyle w:val="FirstParagraph"/>
      </w:pPr>
      <w:r>
        <w:t xml:space="preserve">This appendix holds the codebook and the evidence for each per-indicator coding in Table 7, including the Watergate tapes contrast. Cells that add a fact not stated in the body carry their own notes.</w:t>
      </w:r>
    </w:p>
    <w:p>
      <w:pPr>
        <w:pStyle w:val="BodyText"/>
      </w:pPr>
      <w:r>
        <w:t xml:space="preserve">Pike and Church are observed separately below. Their shared episode is not a controlled comparison: chambers, authorizing resolutions, leadership, disclosure rules, and enforcement paths differed. Both committees bargained and both defied the executive. Church’s inquiry produced substantial public findings and durable institutions; Pike’s obtained evidence and lost the fight over official publication when the House bound its committee. Neither outcome alone identifies posture, or the parent chamber’s response, as the cause.</w:t>
      </w:r>
    </w:p>
    <w:p>
      <w:pPr>
        <w:pStyle w:val="BodyText"/>
      </w:pPr>
      <w:r>
        <w:rPr>
          <w:bCs/>
          <w:b/>
        </w:rPr>
        <w:t xml:space="preserve">Codebook (actor scored, and what earns each mark).</w:t>
      </w:r>
      <w:r>
        <w:t xml:space="preserve"> </w:t>
      </w:r>
      <w:r>
        <w:t xml:space="preserve">Each case is scored on Congress’s own demand; for the Watergate contrast that is the Senate committee’s subpoenas for the tapes, the demand that was litigated. The House Judiciary Committee’s own subpoenas of 1974 are not scored: the President answered the first of them with edited transcripts, and the committee charged his failure to comply with all four in an article of impeachment.</w:t>
      </w:r>
      <w:r>
        <w:rPr>
          <w:rStyle w:val="FootnoteReference"/>
        </w:rPr>
        <w:footnoteReference w:id="203"/>
      </w:r>
      <w:r>
        <w:t xml:space="preserve"> </w:t>
      </w:r>
      <w:r>
        <w:t xml:space="preserve">The Special Prosecutor’s trial subpoena is recorded in the outcome rows. Each cell is scored on the period in the case heading: evidence from before it is labelled as an antecedent and evidence from after it as a sequel, and outcomes may be scored after a period ends. The executive-offer rows score the executive’s conduct at the time, not whether its position later stood, which the response and outcome rows record. Scored this way, delay and self-definition mark almost any executive that resists a demand, so those rows describe the exchange and do not by themselves separate episodes. One author wrote the codebook and applied it; no second coder has scored the cells.</w:t>
      </w:r>
    </w:p>
    <w:tbl>
      <w:tblPr>
        <w:tblStyle w:val="Table"/>
        <w:tblW w:type="pct" w:w="5000"/>
        <w:tblLook w:firstRow="1" w:lastRow="0" w:firstColumn="0" w:lastColumn="0" w:noHBand="0" w:noVBand="0" w:val="0020"/>
        <w:jc w:val="start"/>
        <w:tblLayout w:type="autofit"/>
      </w:tblPr>
      <w:tblGrid>
        <w:gridCol w:w="1584"/>
        <w:gridCol w:w="1584"/>
        <w:gridCol w:w="1584"/>
        <w:gridCol w:w="1584"/>
        <w:gridCol w:w="1584"/>
      </w:tblGrid>
      <w:tr>
        <w:trPr>
          <w:tblHeader w:val="true"/>
          <w:cantSplit/>
        </w:trPr>
        <w:tc>
          <w:tcPr>
            <w:tcW w:type="pct" w:w="1000"/>
          </w:tcPr>
          <w:p>
            <w:pPr>
              <w:pStyle w:val="Compact"/>
              <w:jc w:val="left"/>
            </w:pPr>
            <w:r>
              <w:rPr>
                <w:b/>
                <w:sz w:val="20"/>
              </w:rPr>
              <w:t xml:space="preserve">Indicator</w:t>
            </w:r>
          </w:p>
        </w:tc>
        <w:tc>
          <w:tcPr>
            <w:tcW w:type="pct" w:w="1000"/>
          </w:tcPr>
          <w:p>
            <w:pPr>
              <w:pStyle w:val="Compact"/>
              <w:jc w:val="left"/>
            </w:pPr>
            <w:r>
              <w:rPr>
                <w:b/>
                <w:sz w:val="20"/>
              </w:rPr>
              <w:t xml:space="preserve">Actor whose conduct is scored</w:t>
            </w:r>
          </w:p>
        </w:tc>
        <w:tc>
          <w:tcPr>
            <w:tcW w:type="pct" w:w="1000"/>
          </w:tcPr>
          <w:p>
            <w:pPr>
              <w:pStyle w:val="Compact"/>
              <w:jc w:val="left"/>
            </w:pPr>
            <w:r>
              <w:rPr>
                <w:b/>
                <w:sz w:val="20"/>
              </w:rPr>
              <w:t xml:space="preserve">✓ supported</w:t>
            </w:r>
          </w:p>
        </w:tc>
        <w:tc>
          <w:tcPr>
            <w:tcW w:type="pct" w:w="1000"/>
          </w:tcPr>
          <w:p>
            <w:pPr>
              <w:pStyle w:val="Compact"/>
              <w:jc w:val="left"/>
            </w:pPr>
            <w:r>
              <w:rPr>
                <w:b/>
                <w:sz w:val="20"/>
              </w:rPr>
              <w:t xml:space="preserve">◑ mixed</w:t>
            </w:r>
          </w:p>
        </w:tc>
        <w:tc>
          <w:tcPr>
            <w:tcW w:type="pct" w:w="1000"/>
          </w:tcPr>
          <w:p>
            <w:pPr>
              <w:pStyle w:val="Compact"/>
              <w:jc w:val="left"/>
            </w:pPr>
            <w:r>
              <w:rPr>
                <w:b/>
                <w:sz w:val="20"/>
              </w:rPr>
              <w:t xml:space="preserve">✗ contrary</w:t>
            </w:r>
          </w:p>
        </w:tc>
      </w:tr>
      <w:tr>
        <w:trPr>
          <w:cantSplit/>
        </w:trPr>
        <w:tc>
          <w:tcPr>
            <w:tcW w:type="pct" w:w="1000"/>
          </w:tcPr>
          <w:p>
            <w:pPr>
              <w:pStyle w:val="Compact"/>
              <w:jc w:val="left"/>
            </w:pPr>
            <w:r>
              <w:rPr>
                <w:sz w:val="20"/>
              </w:rPr>
              <w:t xml:space="preserve">Exogenous rupture</w:t>
            </w:r>
            <w:r>
              <w:rPr>
                <w:sz w:val="20"/>
              </w:rPr>
              <w:t xml:space="preserve"> </w:t>
            </w:r>
            <w:r>
              <w:rPr>
                <w:iCs/>
                <w:i/>
                <w:sz w:val="20"/>
              </w:rPr>
              <w:t xml:space="preserve">(bracket)</w:t>
            </w:r>
          </w:p>
        </w:tc>
        <w:tc>
          <w:tcPr>
            <w:tcW w:type="pct" w:w="1000"/>
          </w:tcPr>
          <w:p>
            <w:pPr>
              <w:pStyle w:val="Compact"/>
              <w:jc w:val="left"/>
            </w:pPr>
            <w:r>
              <w:rPr>
                <w:sz w:val="20"/>
              </w:rPr>
              <w:t xml:space="preserve">Source of the triggering disclosure</w:t>
            </w:r>
          </w:p>
        </w:tc>
        <w:tc>
          <w:tcPr>
            <w:tcW w:type="pct" w:w="1000"/>
          </w:tcPr>
          <w:p>
            <w:pPr>
              <w:pStyle w:val="Compact"/>
              <w:jc w:val="left"/>
            </w:pPr>
            <w:r>
              <w:rPr>
                <w:sz w:val="20"/>
              </w:rPr>
              <w:t xml:space="preserve">The disclosure that prompts the inquiry comes from outside Congress</w:t>
            </w:r>
          </w:p>
        </w:tc>
        <w:tc>
          <w:tcPr>
            <w:tcW w:type="pct" w:w="1000"/>
          </w:tcPr>
          <w:p>
            <w:pPr>
              <w:pStyle w:val="Compact"/>
              <w:jc w:val="left"/>
            </w:pPr>
            <w:r>
              <w:rPr>
                <w:sz w:val="20"/>
              </w:rPr>
              <w:t xml:space="preserve">The trigger is external, but Congress itself discovers concealed conduct during the episode</w:t>
            </w:r>
          </w:p>
        </w:tc>
        <w:tc>
          <w:tcPr>
            <w:tcW w:type="pct" w:w="1000"/>
          </w:tcPr>
          <w:p>
            <w:pPr>
              <w:pStyle w:val="Compact"/>
              <w:jc w:val="left"/>
            </w:pPr>
            <w:r>
              <w:rPr>
                <w:sz w:val="20"/>
              </w:rPr>
              <w:t xml:space="preserve">Congress discovers the conduct first</w:t>
            </w:r>
          </w:p>
        </w:tc>
      </w:tr>
      <w:tr>
        <w:trPr>
          <w:cantSplit/>
        </w:trPr>
        <w:tc>
          <w:tcPr>
            <w:tcW w:type="pct" w:w="1000"/>
          </w:tcPr>
          <w:p>
            <w:pPr>
              <w:pStyle w:val="Compact"/>
              <w:jc w:val="left"/>
            </w:pPr>
            <w:r>
              <w:rPr>
                <w:sz w:val="20"/>
              </w:rPr>
              <w:t xml:space="preserve">Demand posture</w:t>
            </w:r>
          </w:p>
        </w:tc>
        <w:tc>
          <w:tcPr>
            <w:tcW w:type="pct" w:w="1000"/>
          </w:tcPr>
          <w:p>
            <w:pPr>
              <w:pStyle w:val="Compact"/>
              <w:jc w:val="left"/>
            </w:pPr>
            <w:r>
              <w:rPr>
                <w:sz w:val="20"/>
              </w:rPr>
              <w:t xml:space="preserve">Congress</w:t>
            </w:r>
          </w:p>
        </w:tc>
        <w:tc>
          <w:tcPr>
            <w:tcW w:type="pct" w:w="1000"/>
          </w:tcPr>
          <w:p>
            <w:pPr>
              <w:pStyle w:val="Compact"/>
              <w:jc w:val="left"/>
            </w:pPr>
            <w:r>
              <w:rPr>
                <w:sz w:val="20"/>
              </w:rPr>
              <w:t xml:space="preserve">A committee or chamber formally demands records or testimony</w:t>
            </w:r>
          </w:p>
        </w:tc>
        <w:tc>
          <w:tcPr>
            <w:tcW w:type="pct" w:w="1000"/>
          </w:tcPr>
          <w:p>
            <w:pPr>
              <w:pStyle w:val="Compact"/>
              <w:jc w:val="left"/>
            </w:pPr>
            <w:r>
              <w:rPr>
                <w:sz w:val="20"/>
              </w:rPr>
              <w:t xml:space="preserve">The demand is limited to letters or requests without formal process</w:t>
            </w:r>
          </w:p>
        </w:tc>
        <w:tc>
          <w:tcPr>
            <w:tcW w:type="pct" w:w="1000"/>
          </w:tcPr>
          <w:p>
            <w:pPr>
              <w:pStyle w:val="Compact"/>
              <w:jc w:val="left"/>
            </w:pPr>
            <w:r>
              <w:rPr>
                <w:sz w:val="20"/>
              </w:rPr>
              <w:t xml:space="preserve">No demand is made. The row records the form of the demand; it is present in any investigation and does not discriminate between episodes</w:t>
            </w:r>
          </w:p>
        </w:tc>
      </w:tr>
      <w:tr>
        <w:trPr>
          <w:cantSplit/>
        </w:trPr>
        <w:tc>
          <w:tcPr>
            <w:tcW w:type="pct" w:w="1000"/>
          </w:tcPr>
          <w:p>
            <w:pPr>
              <w:pStyle w:val="Compact"/>
              <w:jc w:val="left"/>
            </w:pPr>
            <w:r>
              <w:rPr>
                <w:sz w:val="20"/>
              </w:rPr>
              <w:t xml:space="preserve">Selective disclosure</w:t>
            </w:r>
          </w:p>
        </w:tc>
        <w:tc>
          <w:tcPr>
            <w:tcW w:type="pct" w:w="1000"/>
          </w:tcPr>
          <w:p>
            <w:pPr>
              <w:pStyle w:val="Compact"/>
              <w:jc w:val="left"/>
            </w:pPr>
            <w:r>
              <w:rPr>
                <w:sz w:val="20"/>
              </w:rPr>
              <w:t xml:space="preserve">Executive</w:t>
            </w:r>
          </w:p>
        </w:tc>
        <w:tc>
          <w:tcPr>
            <w:tcW w:type="pct" w:w="1000"/>
          </w:tcPr>
          <w:p>
            <w:pPr>
              <w:pStyle w:val="Compact"/>
              <w:jc w:val="left"/>
            </w:pPr>
            <w:r>
              <w:rPr>
                <w:sz w:val="20"/>
              </w:rPr>
              <w:t xml:space="preserve">Records are withheld, destroyed, conditioned, or released only in part</w:t>
            </w:r>
          </w:p>
        </w:tc>
        <w:tc>
          <w:tcPr>
            <w:tcW w:type="pct" w:w="1000"/>
          </w:tcPr>
          <w:p>
            <w:pPr>
              <w:pStyle w:val="Compact"/>
              <w:jc w:val="left"/>
            </w:pPr>
            <w:r>
              <w:rPr>
                <w:sz w:val="20"/>
              </w:rPr>
              <w:t xml:space="preserve">Disclosure is substantially complete with identified gaps</w:t>
            </w:r>
          </w:p>
        </w:tc>
        <w:tc>
          <w:tcPr>
            <w:tcW w:type="pct" w:w="1000"/>
          </w:tcPr>
          <w:p>
            <w:pPr>
              <w:pStyle w:val="Compact"/>
              <w:jc w:val="left"/>
            </w:pPr>
            <w:r>
              <w:rPr>
                <w:sz w:val="20"/>
              </w:rPr>
              <w:t xml:space="preserve">Full production</w:t>
            </w:r>
          </w:p>
        </w:tc>
      </w:tr>
      <w:tr>
        <w:trPr>
          <w:cantSplit/>
        </w:trPr>
        <w:tc>
          <w:tcPr>
            <w:tcW w:type="pct" w:w="1000"/>
          </w:tcPr>
          <w:p>
            <w:pPr>
              <w:pStyle w:val="Compact"/>
              <w:jc w:val="left"/>
            </w:pPr>
            <w:r>
              <w:rPr>
                <w:sz w:val="20"/>
              </w:rPr>
              <w:t xml:space="preserve">Justification proliferation</w:t>
            </w:r>
          </w:p>
        </w:tc>
        <w:tc>
          <w:tcPr>
            <w:tcW w:type="pct" w:w="1000"/>
          </w:tcPr>
          <w:p>
            <w:pPr>
              <w:pStyle w:val="Compact"/>
              <w:jc w:val="left"/>
            </w:pPr>
            <w:r>
              <w:rPr>
                <w:sz w:val="20"/>
              </w:rPr>
              <w:t xml:space="preserve">Executive</w:t>
            </w:r>
          </w:p>
        </w:tc>
        <w:tc>
          <w:tcPr>
            <w:tcW w:type="pct" w:w="1000"/>
          </w:tcPr>
          <w:p>
            <w:pPr>
              <w:pStyle w:val="Compact"/>
              <w:jc w:val="left"/>
            </w:pPr>
            <w:r>
              <w:rPr>
                <w:sz w:val="20"/>
              </w:rPr>
              <w:t xml:space="preserve">Grounds for withholding expand beyond the governing text</w:t>
            </w:r>
          </w:p>
        </w:tc>
        <w:tc>
          <w:tcPr>
            <w:tcW w:type="pct" w:w="1000"/>
          </w:tcPr>
          <w:p>
            <w:pPr>
              <w:pStyle w:val="Compact"/>
              <w:jc w:val="left"/>
            </w:pPr>
            <w:r>
              <w:rPr>
                <w:sz w:val="20"/>
              </w:rPr>
              <w:t xml:space="preserve">One ground is asserted, or the evidence concerns claimed authority and not withholding</w:t>
            </w:r>
          </w:p>
        </w:tc>
        <w:tc>
          <w:tcPr>
            <w:tcW w:type="pct" w:w="1000"/>
          </w:tcPr>
          <w:p>
            <w:pPr>
              <w:pStyle w:val="Compact"/>
              <w:jc w:val="left"/>
            </w:pPr>
            <w:r>
              <w:rPr>
                <w:sz w:val="20"/>
              </w:rPr>
              <w:t xml:space="preserve">No ground beyond the governing text</w:t>
            </w:r>
          </w:p>
        </w:tc>
      </w:tr>
      <w:tr>
        <w:trPr>
          <w:cantSplit/>
        </w:trPr>
        <w:tc>
          <w:tcPr>
            <w:tcW w:type="pct" w:w="1000"/>
          </w:tcPr>
          <w:p>
            <w:pPr>
              <w:pStyle w:val="Compact"/>
              <w:jc w:val="left"/>
            </w:pPr>
            <w:r>
              <w:rPr>
                <w:sz w:val="20"/>
              </w:rPr>
              <w:t xml:space="preserve">Delayed compliance</w:t>
            </w:r>
          </w:p>
        </w:tc>
        <w:tc>
          <w:tcPr>
            <w:tcW w:type="pct" w:w="1000"/>
          </w:tcPr>
          <w:p>
            <w:pPr>
              <w:pStyle w:val="Compact"/>
              <w:jc w:val="left"/>
            </w:pPr>
            <w:r>
              <w:rPr>
                <w:sz w:val="20"/>
              </w:rPr>
              <w:t xml:space="preserve">Executive</w:t>
            </w:r>
          </w:p>
        </w:tc>
        <w:tc>
          <w:tcPr>
            <w:tcW w:type="pct" w:w="1000"/>
          </w:tcPr>
          <w:p>
            <w:pPr>
              <w:pStyle w:val="Compact"/>
              <w:jc w:val="left"/>
            </w:pPr>
            <w:r>
              <w:rPr>
                <w:sz w:val="20"/>
              </w:rPr>
              <w:t xml:space="preserve">Production came ninety days or more after the demand, or never came</w:t>
            </w:r>
          </w:p>
        </w:tc>
        <w:tc>
          <w:tcPr>
            <w:tcW w:type="pct" w:w="1000"/>
          </w:tcPr>
          <w:p>
            <w:pPr>
              <w:pStyle w:val="Compact"/>
              <w:jc w:val="left"/>
            </w:pPr>
            <w:r>
              <w:rPr>
                <w:sz w:val="20"/>
              </w:rPr>
              <w:t xml:space="preserve">Production came after the date the demand set but within ninety days</w:t>
            </w:r>
          </w:p>
        </w:tc>
        <w:tc>
          <w:tcPr>
            <w:tcW w:type="pct" w:w="1000"/>
          </w:tcPr>
          <w:p>
            <w:pPr>
              <w:pStyle w:val="Compact"/>
              <w:jc w:val="left"/>
            </w:pPr>
            <w:r>
              <w:rPr>
                <w:sz w:val="20"/>
              </w:rPr>
              <w:t xml:space="preserve">Production by the date demanded</w:t>
            </w:r>
          </w:p>
        </w:tc>
      </w:tr>
      <w:tr>
        <w:trPr>
          <w:cantSplit/>
        </w:trPr>
        <w:tc>
          <w:tcPr>
            <w:tcW w:type="pct" w:w="1000"/>
          </w:tcPr>
          <w:p>
            <w:pPr>
              <w:pStyle w:val="Compact"/>
              <w:jc w:val="left"/>
            </w:pPr>
            <w:r>
              <w:rPr>
                <w:sz w:val="20"/>
              </w:rPr>
              <w:t xml:space="preserve">Executive self-definition</w:t>
            </w:r>
          </w:p>
        </w:tc>
        <w:tc>
          <w:tcPr>
            <w:tcW w:type="pct" w:w="1000"/>
          </w:tcPr>
          <w:p>
            <w:pPr>
              <w:pStyle w:val="Compact"/>
              <w:jc w:val="left"/>
            </w:pPr>
            <w:r>
              <w:rPr>
                <w:sz w:val="20"/>
              </w:rPr>
              <w:t xml:space="preserve">Executive</w:t>
            </w:r>
          </w:p>
        </w:tc>
        <w:tc>
          <w:tcPr>
            <w:tcW w:type="pct" w:w="1000"/>
          </w:tcPr>
          <w:p>
            <w:pPr>
              <w:pStyle w:val="Compact"/>
              <w:jc w:val="left"/>
            </w:pPr>
            <w:r>
              <w:rPr>
                <w:sz w:val="20"/>
              </w:rPr>
              <w:t xml:space="preserve">The executive states its own reading of what compliance requires and acts on it</w:t>
            </w:r>
          </w:p>
        </w:tc>
        <w:tc>
          <w:tcPr>
            <w:tcW w:type="pct" w:w="1000"/>
          </w:tcPr>
          <w:p>
            <w:pPr>
              <w:pStyle w:val="Compact"/>
              <w:jc w:val="left"/>
            </w:pPr>
            <w:r>
              <w:rPr>
                <w:sz w:val="20"/>
              </w:rPr>
              <w:t xml:space="preserve">It states a reading but defers to a congressional or judicial process before acting</w:t>
            </w:r>
          </w:p>
        </w:tc>
        <w:tc>
          <w:tcPr>
            <w:tcW w:type="pct" w:w="1000"/>
          </w:tcPr>
          <w:p>
            <w:pPr>
              <w:pStyle w:val="Compact"/>
              <w:jc w:val="left"/>
            </w:pPr>
            <w:r>
              <w:rPr>
                <w:sz w:val="20"/>
              </w:rPr>
              <w:t xml:space="preserve">It accepts the requester’s reading</w:t>
            </w:r>
          </w:p>
        </w:tc>
      </w:tr>
      <w:tr>
        <w:trPr>
          <w:cantSplit/>
        </w:trPr>
        <w:tc>
          <w:tcPr>
            <w:tcW w:type="pct" w:w="1000"/>
          </w:tcPr>
          <w:p>
            <w:pPr>
              <w:pStyle w:val="Compact"/>
              <w:jc w:val="left"/>
            </w:pPr>
            <w:r>
              <w:rPr>
                <w:sz w:val="20"/>
              </w:rPr>
              <w:t xml:space="preserve">Majority declines an available remedy</w:t>
            </w:r>
          </w:p>
        </w:tc>
        <w:tc>
          <w:tcPr>
            <w:tcW w:type="pct" w:w="1000"/>
          </w:tcPr>
          <w:p>
            <w:pPr>
              <w:pStyle w:val="Compact"/>
              <w:jc w:val="left"/>
            </w:pPr>
            <w:r>
              <w:rPr>
                <w:sz w:val="20"/>
              </w:rPr>
              <w:t xml:space="preserve">A committee or chamber majority</w:t>
            </w:r>
          </w:p>
        </w:tc>
        <w:tc>
          <w:tcPr>
            <w:tcW w:type="pct" w:w="1000"/>
          </w:tcPr>
          <w:p>
            <w:pPr>
              <w:pStyle w:val="Compact"/>
              <w:jc w:val="left"/>
            </w:pPr>
            <w:r>
              <w:rPr>
                <w:sz w:val="20"/>
              </w:rPr>
              <w:t xml:space="preserve">Most of the considered remedies shown to be available are declined, by recorded vote or non-use</w:t>
            </w:r>
          </w:p>
        </w:tc>
        <w:tc>
          <w:tcPr>
            <w:tcW w:type="pct" w:w="1000"/>
          </w:tcPr>
          <w:p>
            <w:pPr>
              <w:pStyle w:val="Compact"/>
              <w:jc w:val="left"/>
            </w:pPr>
            <w:r>
              <w:rPr>
                <w:sz w:val="20"/>
              </w:rPr>
              <w:t xml:space="preserve">Some are used and others declined</w:t>
            </w:r>
          </w:p>
        </w:tc>
        <w:tc>
          <w:tcPr>
            <w:tcW w:type="pct" w:w="1000"/>
          </w:tcPr>
          <w:p>
            <w:pPr>
              <w:pStyle w:val="Compact"/>
              <w:jc w:val="left"/>
            </w:pPr>
            <w:r>
              <w:rPr>
                <w:sz w:val="20"/>
              </w:rPr>
              <w:t xml:space="preserve">Those available are used</w:t>
            </w:r>
          </w:p>
        </w:tc>
      </w:tr>
      <w:tr>
        <w:trPr>
          <w:cantSplit/>
        </w:trPr>
        <w:tc>
          <w:tcPr>
            <w:tcW w:type="pct" w:w="1000"/>
          </w:tcPr>
          <w:p>
            <w:pPr>
              <w:pStyle w:val="Compact"/>
              <w:jc w:val="left"/>
            </w:pPr>
            <w:r>
              <w:rPr>
                <w:sz w:val="20"/>
              </w:rPr>
              <w:t xml:space="preserve">Remedy attempted and defeated outside Congress</w:t>
            </w:r>
          </w:p>
        </w:tc>
        <w:tc>
          <w:tcPr>
            <w:tcW w:type="pct" w:w="1000"/>
          </w:tcPr>
          <w:p>
            <w:pPr>
              <w:pStyle w:val="Compact"/>
              <w:jc w:val="left"/>
            </w:pPr>
            <w:r>
              <w:rPr>
                <w:sz w:val="20"/>
              </w:rPr>
              <w:t xml:space="preserve">A court or prosecutor acting on a remedy Congress or its members invoked</w:t>
            </w:r>
          </w:p>
        </w:tc>
        <w:tc>
          <w:tcPr>
            <w:tcW w:type="pct" w:w="1000"/>
          </w:tcPr>
          <w:p>
            <w:pPr>
              <w:pStyle w:val="Compact"/>
              <w:jc w:val="left"/>
            </w:pPr>
            <w:r>
              <w:rPr>
                <w:sz w:val="20"/>
              </w:rPr>
              <w:t xml:space="preserve">The remedy fails</w:t>
            </w:r>
          </w:p>
        </w:tc>
        <w:tc>
          <w:tcPr>
            <w:tcW w:type="pct" w:w="1000"/>
          </w:tcPr>
          <w:p>
            <w:pPr>
              <w:pStyle w:val="Compact"/>
              <w:jc w:val="left"/>
            </w:pPr>
            <w:r>
              <w:rPr>
                <w:sz w:val="20"/>
              </w:rPr>
              <w:t xml:space="preserve">Partial success</w:t>
            </w:r>
          </w:p>
        </w:tc>
        <w:tc>
          <w:tcPr>
            <w:tcW w:type="pct" w:w="1000"/>
          </w:tcPr>
          <w:p>
            <w:pPr>
              <w:pStyle w:val="Compact"/>
              <w:jc w:val="left"/>
            </w:pPr>
            <w:r>
              <w:rPr>
                <w:sz w:val="20"/>
              </w:rPr>
              <w:t xml:space="preserve">The remedy succeeds (n/a when no congressional invocation is documented)</w:t>
            </w:r>
          </w:p>
        </w:tc>
      </w:tr>
      <w:tr>
        <w:trPr>
          <w:cantSplit/>
        </w:trPr>
        <w:tc>
          <w:tcPr>
            <w:tcW w:type="pct" w:w="1000"/>
          </w:tcPr>
          <w:p>
            <w:pPr>
              <w:pStyle w:val="Compact"/>
              <w:jc w:val="left"/>
            </w:pPr>
            <w:r>
              <w:rPr>
                <w:sz w:val="20"/>
              </w:rPr>
              <w:t xml:space="preserve">Informal negotiation</w:t>
            </w:r>
          </w:p>
        </w:tc>
        <w:tc>
          <w:tcPr>
            <w:tcW w:type="pct" w:w="1000"/>
          </w:tcPr>
          <w:p>
            <w:pPr>
              <w:pStyle w:val="Compact"/>
              <w:jc w:val="left"/>
            </w:pPr>
            <w:r>
              <w:rPr>
                <w:sz w:val="20"/>
              </w:rPr>
              <w:t xml:space="preserve">Congress and the executive</w:t>
            </w:r>
          </w:p>
        </w:tc>
        <w:tc>
          <w:tcPr>
            <w:tcW w:type="pct" w:w="1000"/>
          </w:tcPr>
          <w:p>
            <w:pPr>
              <w:pStyle w:val="Compact"/>
              <w:jc w:val="left"/>
            </w:pPr>
            <w:r>
              <w:rPr>
                <w:sz w:val="20"/>
              </w:rPr>
              <w:t xml:space="preserve">Documented bargaining over access or release, whether or not it produced terms; bargaining later overtaken by adjudication is scored here, and the adjudication in the remedy row</w:t>
            </w:r>
          </w:p>
        </w:tc>
        <w:tc>
          <w:tcPr>
            <w:tcW w:type="pct" w:w="1000"/>
          </w:tcPr>
          <w:p>
            <w:pPr>
              <w:pStyle w:val="Compact"/>
              <w:jc w:val="left"/>
            </w:pPr>
            <w:r>
              <w:rPr>
                <w:sz w:val="20"/>
              </w:rPr>
              <w:t xml:space="preserve">Terms are imposed or offered with limited bargaining, or the parties’ accounts dispute that a bargain was struck</w:t>
            </w:r>
          </w:p>
        </w:tc>
        <w:tc>
          <w:tcPr>
            <w:tcW w:type="pct" w:w="1000"/>
          </w:tcPr>
          <w:p>
            <w:pPr>
              <w:pStyle w:val="Compact"/>
              <w:jc w:val="left"/>
            </w:pPr>
            <w:r>
              <w:rPr>
                <w:sz w:val="20"/>
              </w:rPr>
              <w:t xml:space="preserve">No bargaining is documented: access is sought only by demand and adjudication</w:t>
            </w:r>
          </w:p>
        </w:tc>
      </w:tr>
      <w:tr>
        <w:trPr>
          <w:cantSplit/>
        </w:trPr>
        <w:tc>
          <w:tcPr>
            <w:tcW w:type="pct" w:w="1000"/>
          </w:tcPr>
          <w:p>
            <w:pPr>
              <w:pStyle w:val="Compact"/>
              <w:jc w:val="left"/>
            </w:pPr>
            <w:r>
              <w:rPr>
                <w:sz w:val="20"/>
              </w:rPr>
              <w:t xml:space="preserve">Limited individual accountability</w:t>
            </w:r>
            <w:r>
              <w:rPr>
                <w:sz w:val="20"/>
              </w:rPr>
              <w:t xml:space="preserve"> </w:t>
            </w:r>
            <w:r>
              <w:rPr>
                <w:iCs/>
                <w:i/>
                <w:sz w:val="20"/>
              </w:rPr>
              <w:t xml:space="preserve">(bracket)</w:t>
            </w:r>
          </w:p>
        </w:tc>
        <w:tc>
          <w:tcPr>
            <w:tcW w:type="pct" w:w="1000"/>
          </w:tcPr>
          <w:p>
            <w:pPr>
              <w:pStyle w:val="Compact"/>
              <w:jc w:val="left"/>
            </w:pPr>
            <w:r>
              <w:rPr>
                <w:sz w:val="20"/>
              </w:rPr>
              <w:t xml:space="preserve">Prosecutors, courts, and the President</w:t>
            </w:r>
          </w:p>
        </w:tc>
        <w:tc>
          <w:tcPr>
            <w:tcW w:type="pct" w:w="1000"/>
          </w:tcPr>
          <w:p>
            <w:pPr>
              <w:pStyle w:val="Compact"/>
              <w:jc w:val="left"/>
            </w:pPr>
            <w:r>
              <w:rPr>
                <w:sz w:val="20"/>
              </w:rPr>
              <w:t xml:space="preserve">No durable sanction for an identified official</w:t>
            </w:r>
          </w:p>
        </w:tc>
        <w:tc>
          <w:tcPr>
            <w:tcW w:type="pct" w:w="1000"/>
          </w:tcPr>
          <w:p>
            <w:pPr>
              <w:pStyle w:val="Compact"/>
              <w:jc w:val="left"/>
            </w:pPr>
            <w:r>
              <w:rPr>
                <w:sz w:val="20"/>
              </w:rPr>
              <w:t xml:space="preserve">Some sanctions survive and others are reversed or pardoned</w:t>
            </w:r>
          </w:p>
        </w:tc>
        <w:tc>
          <w:tcPr>
            <w:tcW w:type="pct" w:w="1000"/>
          </w:tcPr>
          <w:p>
            <w:pPr>
              <w:pStyle w:val="Compact"/>
              <w:jc w:val="left"/>
            </w:pPr>
            <w:r>
              <w:rPr>
                <w:sz w:val="20"/>
              </w:rPr>
              <w:t xml:space="preserve">Durable sanctions</w:t>
            </w:r>
          </w:p>
        </w:tc>
      </w:tr>
    </w:tbl>
    <w:p>
      <w:pPr>
        <w:pStyle w:val="BodyText"/>
      </w:pPr>
      <w:r>
        <w:t xml:space="preserve">A mark of ? means insufficient evidence to apply the row: the sources may not separate the conduct, establish a requested remedy’s disposition, resolve a considered route’s legal availability, or date both demand and production. The ninety-day line is a coding convention, not a legal standard. The remedies considered are those named in each evidence cell: a contempt vote, a suit, a disclosure procedure, legislation, or impeachment. The majority-remedy mark describes route choice among possible substitutes, not weak escalation or enforcement effort. In the external-remedy row, n/a means no congressional invocation is documented in the sources read; ? means a request is documented but its disposition is not; ◑ requires partial success. These marks are distinct from ✗, a successful remedy.</w:t>
      </w:r>
    </w:p>
    <w:p>
      <w:pPr>
        <w:pStyle w:val="BodyText"/>
      </w:pPr>
      <w:r>
        <w:rPr>
          <w:bCs/>
          <w:b/>
        </w:rPr>
        <w:t xml:space="preserve">Separate eight-indicator profiles (✓ supported; ◑ mixed; ? insufficiently separated evidence; ✗ contrary)</w:t>
      </w:r>
    </w:p>
    <w:tbl>
      <w:tblPr>
        <w:tblStyle w:val="Table"/>
        <w:tblW w:type="pct" w:w="5000"/>
        <w:tblLook w:firstRow="1" w:lastRow="0" w:firstColumn="0" w:lastColumn="0" w:noHBand="0" w:noVBand="0" w:val="0020"/>
        <w:jc w:val="start"/>
        <w:tblLayout w:type="autofit"/>
      </w:tblPr>
      <w:tblGrid>
        <w:gridCol w:w="1485"/>
        <w:gridCol w:w="2475"/>
        <w:gridCol w:w="2475"/>
        <w:gridCol w:w="1485"/>
      </w:tblGrid>
      <w:tr>
        <w:trPr>
          <w:tblHeader w:val="true"/>
          <w:cantSplit/>
        </w:trPr>
        <w:tc>
          <w:tcPr>
            <w:tcW w:type="pct" w:w="938"/>
          </w:tcPr>
          <w:p>
            <w:pPr>
              <w:pStyle w:val="Compact"/>
              <w:jc w:val="left"/>
            </w:pPr>
            <w:r>
              <w:rPr>
                <w:b/>
                <w:sz w:val="20"/>
              </w:rPr>
              <w:t xml:space="preserve">Process indicator</w:t>
            </w:r>
          </w:p>
        </w:tc>
        <w:tc>
          <w:tcPr>
            <w:tcW w:type="pct" w:w="1562"/>
          </w:tcPr>
          <w:p>
            <w:pPr>
              <w:pStyle w:val="Compact"/>
              <w:jc w:val="center"/>
            </w:pPr>
            <w:r>
              <w:rPr>
                <w:b/>
                <w:sz w:val="20"/>
              </w:rPr>
              <w:t xml:space="preserve">Pike</w:t>
            </w:r>
          </w:p>
        </w:tc>
        <w:tc>
          <w:tcPr>
            <w:tcW w:type="pct" w:w="1562"/>
          </w:tcPr>
          <w:p>
            <w:pPr>
              <w:pStyle w:val="Compact"/>
              <w:jc w:val="center"/>
            </w:pPr>
            <w:r>
              <w:rPr>
                <w:b/>
                <w:sz w:val="20"/>
              </w:rPr>
              <w:t xml:space="preserve">Church</w:t>
            </w:r>
          </w:p>
        </w:tc>
        <w:tc>
          <w:tcPr>
            <w:tcW w:type="pct" w:w="938"/>
          </w:tcPr>
          <w:p>
            <w:pPr>
              <w:pStyle w:val="Compact"/>
              <w:jc w:val="left"/>
            </w:pPr>
            <w:r>
              <w:rPr>
                <w:b/>
                <w:sz w:val="20"/>
              </w:rPr>
              <w:t xml:space="preserve">Basis</w:t>
            </w:r>
          </w:p>
        </w:tc>
      </w:tr>
      <w:tr>
        <w:trPr>
          <w:cantSplit/>
        </w:trPr>
        <w:tc>
          <w:tcPr>
            <w:tcW w:type="pct" w:w="938"/>
          </w:tcPr>
          <w:p>
            <w:pPr>
              <w:pStyle w:val="Compact"/>
              <w:jc w:val="left"/>
            </w:pPr>
            <w:r>
              <w:rPr>
                <w:sz w:val="20"/>
              </w:rPr>
              <w:t xml:space="preserve">Demand posture</w:t>
            </w:r>
          </w:p>
        </w:tc>
        <w:tc>
          <w:tcPr>
            <w:tcW w:type="pct" w:w="1562"/>
          </w:tcPr>
          <w:p>
            <w:pPr>
              <w:pStyle w:val="Compact"/>
              <w:jc w:val="center"/>
            </w:pPr>
            <w:r>
              <w:rPr>
                <w:sz w:val="20"/>
              </w:rPr>
              <w:t xml:space="preserve">✓</w:t>
            </w:r>
          </w:p>
        </w:tc>
        <w:tc>
          <w:tcPr>
            <w:tcW w:type="pct" w:w="1562"/>
          </w:tcPr>
          <w:p>
            <w:pPr>
              <w:pStyle w:val="Compact"/>
              <w:jc w:val="center"/>
            </w:pPr>
            <w:r>
              <w:rPr>
                <w:sz w:val="20"/>
              </w:rPr>
              <w:t xml:space="preserve">✓</w:t>
            </w:r>
          </w:p>
        </w:tc>
        <w:tc>
          <w:tcPr>
            <w:tcW w:type="pct" w:w="938"/>
          </w:tcPr>
          <w:p>
            <w:pPr>
              <w:pStyle w:val="Compact"/>
              <w:jc w:val="left"/>
            </w:pPr>
            <w:r>
              <w:rPr>
                <w:sz w:val="20"/>
              </w:rPr>
              <w:t xml:space="preserve">Pike relied mainly on subpoenas and contempt resolutions, Church mainly on negotiated access; each used both</w:t>
            </w:r>
          </w:p>
        </w:tc>
      </w:tr>
      <w:tr>
        <w:trPr>
          <w:cantSplit/>
        </w:trPr>
        <w:tc>
          <w:tcPr>
            <w:tcW w:type="pct" w:w="938"/>
          </w:tcPr>
          <w:p>
            <w:pPr>
              <w:pStyle w:val="Compact"/>
              <w:jc w:val="left"/>
            </w:pPr>
            <w:r>
              <w:rPr>
                <w:sz w:val="20"/>
              </w:rPr>
              <w:t xml:space="preserve">Selective disclosure</w:t>
            </w:r>
          </w:p>
        </w:tc>
        <w:tc>
          <w:tcPr>
            <w:tcW w:type="pct" w:w="1562"/>
          </w:tcPr>
          <w:p>
            <w:pPr>
              <w:pStyle w:val="Compact"/>
              <w:jc w:val="center"/>
            </w:pPr>
            <w:r>
              <w:rPr>
                <w:sz w:val="20"/>
              </w:rPr>
              <w:t xml:space="preserve">✓</w:t>
            </w:r>
          </w:p>
        </w:tc>
        <w:tc>
          <w:tcPr>
            <w:tcW w:type="pct" w:w="1562"/>
          </w:tcPr>
          <w:p>
            <w:pPr>
              <w:pStyle w:val="Compact"/>
              <w:jc w:val="center"/>
            </w:pPr>
            <w:r>
              <w:rPr>
                <w:sz w:val="20"/>
              </w:rPr>
              <w:t xml:space="preserve">?</w:t>
            </w:r>
          </w:p>
        </w:tc>
        <w:tc>
          <w:tcPr>
            <w:tcW w:type="pct" w:w="938"/>
          </w:tcPr>
          <w:p>
            <w:pPr>
              <w:pStyle w:val="Compact"/>
              <w:jc w:val="left"/>
            </w:pPr>
            <w:r>
              <w:rPr>
                <w:sz w:val="20"/>
              </w:rPr>
              <w:t xml:space="preserve">Pike: a September 1975 embargo, then documents loaned on condition that the President arbitrate release, and a briefing in place of delivery. Church: the only evidence read is a four-month delay in answering the first SHAMROCK inquiries, which the delay row scores; no withholding or conditioning is documented in the sources read</w:t>
            </w:r>
            <w:r>
              <w:rPr>
                <w:sz w:val="20"/>
                <w:vertAlign w:val="superscript"/>
              </w:rPr>
              <w:t xml:space="preserve">see n. 45</w:t>
            </w:r>
            <w:r>
              <w:rPr>
                <w:sz w:val="20"/>
                <w:vertAlign w:val="superscript"/>
              </w:rPr>
              <w:t xml:space="preserve">,</w:t>
            </w:r>
            <w:r>
              <w:rPr>
                <w:sz w:val="20"/>
                <w:vertAlign w:val="superscript"/>
              </w:rPr>
              <w:t xml:space="preserve">see n. 46</w:t>
            </w:r>
          </w:p>
        </w:tc>
      </w:tr>
      <w:tr>
        <w:trPr>
          <w:cantSplit/>
        </w:trPr>
        <w:tc>
          <w:tcPr>
            <w:tcW w:type="pct" w:w="938"/>
          </w:tcPr>
          <w:p>
            <w:pPr>
              <w:pStyle w:val="Compact"/>
              <w:jc w:val="left"/>
            </w:pPr>
            <w:r>
              <w:rPr>
                <w:sz w:val="20"/>
              </w:rPr>
              <w:t xml:space="preserve">Justification proliferation</w:t>
            </w:r>
          </w:p>
        </w:tc>
        <w:tc>
          <w:tcPr>
            <w:tcW w:type="pct" w:w="1562"/>
          </w:tcPr>
          <w:p>
            <w:pPr>
              <w:pStyle w:val="Compact"/>
              <w:jc w:val="center"/>
            </w:pPr>
            <w:r>
              <w:rPr>
                <w:sz w:val="20"/>
              </w:rPr>
              <w:t xml:space="preserve">◑</w:t>
            </w:r>
          </w:p>
        </w:tc>
        <w:tc>
          <w:tcPr>
            <w:tcW w:type="pct" w:w="1562"/>
          </w:tcPr>
          <w:p>
            <w:pPr>
              <w:pStyle w:val="Compact"/>
              <w:jc w:val="center"/>
            </w:pPr>
            <w:r>
              <w:rPr>
                <w:sz w:val="20"/>
              </w:rPr>
              <w:t xml:space="preserve">?</w:t>
            </w:r>
          </w:p>
        </w:tc>
        <w:tc>
          <w:tcPr>
            <w:tcW w:type="pct" w:w="938"/>
          </w:tcPr>
          <w:p>
            <w:pPr>
              <w:pStyle w:val="Compact"/>
              <w:jc w:val="left"/>
            </w:pPr>
            <w:r>
              <w:rPr>
                <w:sz w:val="20"/>
              </w:rPr>
              <w:t xml:space="preserve">An executive-privilege claim against one Pike subpoena and classification as the ground for the release conditions; no separate Church evidence</w:t>
            </w:r>
            <w:r>
              <w:rPr>
                <w:sz w:val="20"/>
                <w:vertAlign w:val="superscript"/>
              </w:rPr>
              <w:t xml:space="preserve">see n. 44</w:t>
            </w:r>
          </w:p>
        </w:tc>
      </w:tr>
      <w:tr>
        <w:trPr>
          <w:cantSplit/>
        </w:trPr>
        <w:tc>
          <w:tcPr>
            <w:tcW w:type="pct" w:w="938"/>
          </w:tcPr>
          <w:p>
            <w:pPr>
              <w:pStyle w:val="Compact"/>
              <w:jc w:val="left"/>
            </w:pPr>
            <w:r>
              <w:rPr>
                <w:sz w:val="20"/>
              </w:rPr>
              <w:t xml:space="preserve">Delayed compliance</w:t>
            </w:r>
          </w:p>
        </w:tc>
        <w:tc>
          <w:tcPr>
            <w:tcW w:type="pct" w:w="1562"/>
          </w:tcPr>
          <w:p>
            <w:pPr>
              <w:pStyle w:val="Compact"/>
              <w:jc w:val="center"/>
            </w:pPr>
            <w:r>
              <w:rPr>
                <w:sz w:val="20"/>
              </w:rPr>
              <w:t xml:space="preserve">◑</w:t>
            </w:r>
          </w:p>
        </w:tc>
        <w:tc>
          <w:tcPr>
            <w:tcW w:type="pct" w:w="1562"/>
          </w:tcPr>
          <w:p>
            <w:pPr>
              <w:pStyle w:val="Compact"/>
              <w:jc w:val="center"/>
            </w:pPr>
            <w:r>
              <w:rPr>
                <w:sz w:val="20"/>
              </w:rPr>
              <w:t xml:space="preserve">✓</w:t>
            </w:r>
          </w:p>
        </w:tc>
        <w:tc>
          <w:tcPr>
            <w:tcW w:type="pct" w:w="938"/>
          </w:tcPr>
          <w:p>
            <w:pPr>
              <w:pStyle w:val="Compact"/>
              <w:jc w:val="left"/>
            </w:pPr>
            <w:r>
              <w:rPr>
                <w:sz w:val="20"/>
              </w:rPr>
              <w:t xml:space="preserve">Pike: subpoenas served November 7, 1975 and returnable November 11 were met by accommodations the committee accepted as substantial compliance on December 2 and 10, inside ninety days, after the September embargo had ended in the October 1 agreement. Church: inquiries of May 1975 answered in early September, about four months later</w:t>
            </w:r>
            <w:r>
              <w:rPr>
                <w:sz w:val="20"/>
                <w:vertAlign w:val="superscript"/>
              </w:rPr>
              <w:t xml:space="preserve">see n. 44</w:t>
            </w:r>
            <w:r>
              <w:rPr>
                <w:sz w:val="20"/>
                <w:vertAlign w:val="superscript"/>
              </w:rPr>
              <w:t xml:space="preserve">,</w:t>
            </w:r>
            <w:r>
              <w:rPr>
                <w:sz w:val="20"/>
                <w:vertAlign w:val="superscript"/>
              </w:rPr>
              <w:t xml:space="preserve">see n. 45</w:t>
            </w:r>
            <w:r>
              <w:rPr>
                <w:sz w:val="20"/>
                <w:vertAlign w:val="superscript"/>
              </w:rPr>
              <w:t xml:space="preserve">,</w:t>
            </w:r>
            <w:r>
              <w:rPr>
                <w:sz w:val="20"/>
                <w:vertAlign w:val="superscript"/>
              </w:rPr>
              <w:t xml:space="preserve">see n. 46</w:t>
            </w:r>
          </w:p>
        </w:tc>
      </w:tr>
      <w:tr>
        <w:trPr>
          <w:cantSplit/>
        </w:trPr>
        <w:tc>
          <w:tcPr>
            <w:tcW w:type="pct" w:w="938"/>
          </w:tcPr>
          <w:p>
            <w:pPr>
              <w:pStyle w:val="Compact"/>
              <w:jc w:val="left"/>
            </w:pPr>
            <w:r>
              <w:rPr>
                <w:sz w:val="20"/>
              </w:rPr>
              <w:t xml:space="preserve">Executive self-definition</w:t>
            </w:r>
          </w:p>
        </w:tc>
        <w:tc>
          <w:tcPr>
            <w:tcW w:type="pct" w:w="1562"/>
          </w:tcPr>
          <w:p>
            <w:pPr>
              <w:pStyle w:val="Compact"/>
              <w:jc w:val="center"/>
            </w:pPr>
            <w:r>
              <w:rPr>
                <w:sz w:val="20"/>
              </w:rPr>
              <w:t xml:space="preserve">✓</w:t>
            </w:r>
          </w:p>
        </w:tc>
        <w:tc>
          <w:tcPr>
            <w:tcW w:type="pct" w:w="1562"/>
          </w:tcPr>
          <w:p>
            <w:pPr>
              <w:pStyle w:val="Compact"/>
              <w:jc w:val="center"/>
            </w:pPr>
            <w:r>
              <w:rPr>
                <w:sz w:val="20"/>
              </w:rPr>
              <w:t xml:space="preserve">✓</w:t>
            </w:r>
          </w:p>
        </w:tc>
        <w:tc>
          <w:tcPr>
            <w:tcW w:type="pct" w:w="938"/>
          </w:tcPr>
          <w:p>
            <w:pPr>
              <w:pStyle w:val="Compact"/>
              <w:jc w:val="left"/>
            </w:pPr>
            <w:r>
              <w:rPr>
                <w:sz w:val="20"/>
              </w:rPr>
              <w:t xml:space="preserve">For Pike the President was made final arbiter of release; for Church, Executive Order 11905 pre-empted the statutory charter</w:t>
            </w:r>
            <w:r>
              <w:rPr>
                <w:sz w:val="20"/>
                <w:vertAlign w:val="superscript"/>
              </w:rPr>
              <w:t xml:space="preserve">see n. 43</w:t>
            </w:r>
          </w:p>
        </w:tc>
      </w:tr>
      <w:tr>
        <w:trPr>
          <w:cantSplit/>
        </w:trPr>
        <w:tc>
          <w:tcPr>
            <w:tcW w:type="pct" w:w="938"/>
          </w:tcPr>
          <w:p>
            <w:pPr>
              <w:pStyle w:val="Compact"/>
              <w:jc w:val="left"/>
            </w:pPr>
            <w:r>
              <w:rPr>
                <w:sz w:val="20"/>
              </w:rPr>
              <w:t xml:space="preserve">Majority declines an available remedy</w:t>
            </w:r>
          </w:p>
        </w:tc>
        <w:tc>
          <w:tcPr>
            <w:tcW w:type="pct" w:w="1562"/>
          </w:tcPr>
          <w:p>
            <w:pPr>
              <w:pStyle w:val="Compact"/>
              <w:jc w:val="center"/>
            </w:pPr>
            <w:r>
              <w:rPr>
                <w:sz w:val="20"/>
              </w:rPr>
              <w:t xml:space="preserve">✓</w:t>
            </w:r>
          </w:p>
        </w:tc>
        <w:tc>
          <w:tcPr>
            <w:tcW w:type="pct" w:w="1562"/>
          </w:tcPr>
          <w:p>
            <w:pPr>
              <w:pStyle w:val="Compact"/>
              <w:jc w:val="center"/>
            </w:pPr>
            <w:r>
              <w:rPr>
                <w:sz w:val="20"/>
              </w:rPr>
              <w:t xml:space="preserve">◑</w:t>
            </w:r>
          </w:p>
        </w:tc>
        <w:tc>
          <w:tcPr>
            <w:tcW w:type="pct" w:w="938"/>
          </w:tcPr>
          <w:p>
            <w:pPr>
              <w:pStyle w:val="Compact"/>
              <w:jc w:val="left"/>
            </w:pPr>
            <w:r>
              <w:rPr>
                <w:sz w:val="20"/>
              </w:rPr>
              <w:t xml:space="preserve">Pike: the committee accepted presidential-certification terms 10–3 and did not take its contempt resolutions to the floor, and the House voted 246–124 to bar release. Church: the committee published twice over presidential objection and the Senate recorded no disapproval, but the statutory charter was not enacted</w:t>
            </w:r>
            <w:r>
              <w:rPr>
                <w:sz w:val="20"/>
                <w:vertAlign w:val="superscript"/>
              </w:rPr>
              <w:t xml:space="preserve">see n. 42</w:t>
            </w:r>
            <w:r>
              <w:rPr>
                <w:sz w:val="20"/>
                <w:vertAlign w:val="superscript"/>
              </w:rPr>
              <w:t xml:space="preserve">,</w:t>
            </w:r>
            <w:r>
              <w:rPr>
                <w:sz w:val="20"/>
                <w:vertAlign w:val="superscript"/>
              </w:rPr>
              <w:t xml:space="preserve">see n. 47</w:t>
            </w:r>
          </w:p>
        </w:tc>
      </w:tr>
      <w:tr>
        <w:trPr>
          <w:cantSplit/>
        </w:trPr>
        <w:tc>
          <w:tcPr>
            <w:tcW w:type="pct" w:w="938"/>
          </w:tcPr>
          <w:p>
            <w:pPr>
              <w:pStyle w:val="Compact"/>
              <w:jc w:val="left"/>
            </w:pPr>
            <w:r>
              <w:rPr>
                <w:sz w:val="20"/>
              </w:rPr>
              <w:t xml:space="preserve">Remedy attempted and defeated outside Congress</w:t>
            </w:r>
          </w:p>
        </w:tc>
        <w:tc>
          <w:tcPr>
            <w:tcW w:type="pct" w:w="1562"/>
          </w:tcPr>
          <w:p>
            <w:pPr>
              <w:pStyle w:val="Compact"/>
              <w:jc w:val="center"/>
            </w:pPr>
            <w:r>
              <w:rPr>
                <w:sz w:val="20"/>
              </w:rPr>
              <w:t xml:space="preserve">n/a</w:t>
            </w:r>
          </w:p>
        </w:tc>
        <w:tc>
          <w:tcPr>
            <w:tcW w:type="pct" w:w="1562"/>
          </w:tcPr>
          <w:p>
            <w:pPr>
              <w:pStyle w:val="Compact"/>
              <w:jc w:val="center"/>
            </w:pPr>
            <w:r>
              <w:rPr>
                <w:sz w:val="20"/>
              </w:rPr>
              <w:t xml:space="preserve">n/a</w:t>
            </w:r>
          </w:p>
        </w:tc>
        <w:tc>
          <w:tcPr>
            <w:tcW w:type="pct" w:w="938"/>
          </w:tcPr>
          <w:p>
            <w:pPr>
              <w:pStyle w:val="Compact"/>
              <w:jc w:val="left"/>
            </w:pPr>
            <w:r>
              <w:rPr>
                <w:sz w:val="20"/>
              </w:rPr>
              <w:t xml:space="preserve">None was attempted; the Pike committee reserved a right to seek judicial determination and did not use it</w:t>
            </w:r>
          </w:p>
        </w:tc>
      </w:tr>
      <w:tr>
        <w:trPr>
          <w:cantSplit/>
        </w:trPr>
        <w:tc>
          <w:tcPr>
            <w:tcW w:type="pct" w:w="938"/>
          </w:tcPr>
          <w:p>
            <w:pPr>
              <w:pStyle w:val="Compact"/>
              <w:jc w:val="left"/>
            </w:pPr>
            <w:r>
              <w:rPr>
                <w:sz w:val="20"/>
              </w:rPr>
              <w:t xml:space="preserve">Informal negotiation</w:t>
            </w:r>
          </w:p>
        </w:tc>
        <w:tc>
          <w:tcPr>
            <w:tcW w:type="pct" w:w="1562"/>
          </w:tcPr>
          <w:p>
            <w:pPr>
              <w:pStyle w:val="Compact"/>
              <w:jc w:val="center"/>
            </w:pPr>
            <w:r>
              <w:rPr>
                <w:sz w:val="20"/>
              </w:rPr>
              <w:t xml:space="preserve">✓</w:t>
            </w:r>
          </w:p>
        </w:tc>
        <w:tc>
          <w:tcPr>
            <w:tcW w:type="pct" w:w="1562"/>
          </w:tcPr>
          <w:p>
            <w:pPr>
              <w:pStyle w:val="Compact"/>
              <w:jc w:val="center"/>
            </w:pPr>
            <w:r>
              <w:rPr>
                <w:sz w:val="20"/>
              </w:rPr>
              <w:t xml:space="preserve">✓</w:t>
            </w:r>
          </w:p>
        </w:tc>
        <w:tc>
          <w:tcPr>
            <w:tcW w:type="pct" w:w="938"/>
          </w:tcPr>
          <w:p>
            <w:pPr>
              <w:pStyle w:val="Compact"/>
              <w:jc w:val="left"/>
            </w:pPr>
            <w:r>
              <w:rPr>
                <w:sz w:val="20"/>
              </w:rPr>
              <w:t xml:space="preserve">Pike bargained over release terms and over the contempt subpoenas; Church bargained over access throughout</w:t>
            </w:r>
            <w:r>
              <w:rPr>
                <w:sz w:val="20"/>
                <w:vertAlign w:val="superscript"/>
              </w:rPr>
              <w:t xml:space="preserve">see n. 45</w:t>
            </w:r>
          </w:p>
        </w:tc>
      </w:tr>
    </w:tbl>
    <w:p>
      <w:pPr>
        <w:pStyle w:val="BodyText"/>
      </w:pPr>
      <w:r>
        <w:t xml:space="preserve">Counting firm ✓ marks only, as description: Pike five of eight, Church four, Iran-Contra six, NSA three, the CIA program five, and the Watergate contrast five. These counts are not a test and do not rank the episodes: the contrast ties Pike and the CIA program, exceeds Church and NSA, and falls below Iran-Contra. Against the previous edition, Watergate’s majority-remedy mark changes from ✓ to ? because consideration of contempt against a sitting President does not establish its contested legal availability; its firm count falls from six to five. The external-remedy marks change from ◑ to n/a for Iran-Contra and the CIA program, because the cited proceedings lack a documented congressional invocation, and from ◑ to ? for NSA, because the request’s disposition is unestablished. None of these three changes affects a firm-mark count. Pike and Church remain n/a on that row. No other mark changes; the episode-level union in Table 7 retains the combined Pike and Church column as supported on selective disclosure and delay. The successful institutional products of the Church inquiry remain positive outcomes.</w:t>
      </w:r>
    </w:p>
    <w:tbl>
      <w:tblPr>
        <w:tblStyle w:val="Table"/>
        <w:tblW w:type="pct" w:w="5000"/>
        <w:tblLook w:firstRow="1" w:lastRow="0" w:firstColumn="0" w:lastColumn="0" w:noHBand="0" w:noVBand="0" w:val="0020"/>
        <w:jc w:val="start"/>
        <w:tblLayout w:type="autofit"/>
      </w:tblPr>
      <w:tblGrid>
        <w:gridCol w:w="1697"/>
        <w:gridCol w:w="1697"/>
        <w:gridCol w:w="2828"/>
        <w:gridCol w:w="1697"/>
      </w:tblGrid>
      <w:tr>
        <w:trPr>
          <w:tblHeader w:val="true"/>
          <w:cantSplit/>
        </w:trPr>
        <w:tc>
          <w:tcPr>
            <w:tcW w:type="pct" w:w="1071"/>
          </w:tcPr>
          <w:p>
            <w:pPr>
              <w:pStyle w:val="Compact"/>
              <w:jc w:val="left"/>
            </w:pPr>
            <w:r>
              <w:rPr>
                <w:b/>
                <w:sz w:val="20"/>
              </w:rPr>
              <w:t xml:space="preserve">Case</w:t>
            </w:r>
          </w:p>
        </w:tc>
        <w:tc>
          <w:tcPr>
            <w:tcW w:type="pct" w:w="1071"/>
          </w:tcPr>
          <w:p>
            <w:pPr>
              <w:pStyle w:val="Compact"/>
              <w:jc w:val="left"/>
            </w:pPr>
            <w:r>
              <w:rPr>
                <w:b/>
                <w:sz w:val="20"/>
              </w:rPr>
              <w:t xml:space="preserve">Indicator</w:t>
            </w:r>
          </w:p>
        </w:tc>
        <w:tc>
          <w:tcPr>
            <w:tcW w:type="pct" w:w="1786"/>
          </w:tcPr>
          <w:p>
            <w:pPr>
              <w:pStyle w:val="Compact"/>
              <w:jc w:val="center"/>
            </w:pPr>
            <w:r>
              <w:rPr>
                <w:b/>
                <w:sz w:val="20"/>
              </w:rPr>
              <w:t xml:space="preserve">Coding</w:t>
            </w:r>
          </w:p>
        </w:tc>
        <w:tc>
          <w:tcPr>
            <w:tcW w:type="pct" w:w="1072"/>
          </w:tcPr>
          <w:p>
            <w:pPr>
              <w:pStyle w:val="Compact"/>
              <w:jc w:val="left"/>
            </w:pPr>
            <w:r>
              <w:rPr>
                <w:b/>
                <w:sz w:val="20"/>
              </w:rPr>
              <w:t xml:space="preserve">Evidence</w:t>
            </w:r>
          </w:p>
        </w:tc>
      </w:tr>
      <w:tr>
        <w:trPr>
          <w:cantSplit/>
        </w:trPr>
        <w:tc>
          <w:tcPr>
            <w:tcW w:type="pct" w:w="1071"/>
          </w:tcPr>
          <w:p>
            <w:pPr>
              <w:pStyle w:val="Compact"/>
              <w:jc w:val="left"/>
            </w:pPr>
            <w:r>
              <w:rPr>
                <w:sz w:val="20"/>
              </w:rPr>
              <w:t xml:space="preserve">Pike and Church</w:t>
            </w:r>
          </w:p>
        </w:tc>
        <w:tc>
          <w:tcPr>
            <w:tcW w:type="pct" w:w="1071"/>
          </w:tcPr>
          <w:p>
            <w:pPr>
              <w:pStyle w:val="Compact"/>
              <w:jc w:val="left"/>
            </w:pPr>
            <w:r>
              <w:rPr>
                <w:sz w:val="20"/>
              </w:rPr>
              <w:t xml:space="preserve">Exogenous rupture</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The inquiries followed Hersh’s December 1974</w:t>
            </w:r>
            <w:r>
              <w:rPr>
                <w:sz w:val="20"/>
              </w:rPr>
              <w:t xml:space="preserve"> </w:t>
            </w:r>
            <w:r>
              <w:rPr>
                <w:iCs/>
                <w:i/>
                <w:sz w:val="20"/>
              </w:rPr>
              <w:t xml:space="preserve">New York Times</w:t>
            </w:r>
            <w:r>
              <w:rPr>
                <w:sz w:val="20"/>
              </w:rPr>
              <w:t xml:space="preserve"> </w:t>
            </w:r>
            <w:r>
              <w:rPr>
                <w:sz w:val="20"/>
              </w:rPr>
              <w:t xml:space="preserve">report, which covered many of the subjects in the</w:t>
            </w:r>
            <w:r>
              <w:rPr>
                <w:sz w:val="20"/>
              </w:rPr>
              <w:t xml:space="preserve"> </w:t>
            </w:r>
            <w:r>
              <w:rPr>
                <w:sz w:val="20"/>
              </w:rPr>
              <w:t xml:space="preserve">“</w:t>
            </w:r>
            <w:r>
              <w:rPr>
                <w:sz w:val="20"/>
              </w:rPr>
              <w:t xml:space="preserve">Family Jewels</w:t>
            </w:r>
            <w:r>
              <w:rPr>
                <w:sz w:val="20"/>
              </w:rPr>
              <w:t xml:space="preserve">”</w:t>
            </w:r>
            <w:r>
              <w:rPr>
                <w:sz w:val="20"/>
              </w:rPr>
              <w:t xml:space="preserve"> </w:t>
            </w:r>
            <w:r>
              <w:rPr>
                <w:sz w:val="20"/>
              </w:rPr>
              <w:t xml:space="preserve">compilation and first revealed its existence, a disclosure from the press and not from Congress’s own oversight.</w:t>
            </w:r>
            <w:r>
              <w:rPr>
                <w:sz w:val="20"/>
                <w:vertAlign w:val="superscript"/>
              </w:rPr>
              <w:t xml:space="preserve">see n. 41</w:t>
            </w:r>
            <w:r>
              <w:rPr>
                <w:sz w:val="20"/>
              </w:rPr>
              <w:t xml:space="preserve"> </w:t>
            </w:r>
            <w:r>
              <w:rPr>
                <w:sz w:val="20"/>
              </w:rPr>
              <w:t xml:space="preserve">Within the episode the Senate committee itself found and disclosed the SHAMROCK interception program, having first inquired in May 1975; under Table 6 a congressional discovery counts against the bracket.</w:t>
            </w:r>
            <w:r>
              <w:rPr>
                <w:sz w:val="20"/>
                <w:vertAlign w:val="superscript"/>
              </w:rPr>
              <w:t xml:space="preserve">see n. 46</w:t>
            </w:r>
          </w:p>
        </w:tc>
      </w:tr>
      <w:tr>
        <w:trPr>
          <w:cantSplit/>
        </w:trPr>
        <w:tc>
          <w:tcPr>
            <w:tcW w:type="pct" w:w="1071"/>
          </w:tcPr>
          <w:p>
            <w:pPr>
              <w:pStyle w:val="Compact"/>
              <w:jc w:val="left"/>
            </w:pPr>
            <w:r>
              <w:rPr>
                <w:sz w:val="20"/>
              </w:rPr>
              <w:t xml:space="preserve">Pike and Church</w:t>
            </w:r>
          </w:p>
        </w:tc>
        <w:tc>
          <w:tcPr>
            <w:tcW w:type="pct" w:w="1071"/>
          </w:tcPr>
          <w:p>
            <w:pPr>
              <w:pStyle w:val="Compact"/>
              <w:jc w:val="left"/>
            </w:pPr>
            <w:r>
              <w:rPr>
                <w:sz w:val="20"/>
              </w:rPr>
              <w:t xml:space="preserve">Demand posture</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Both committees made formal demands. Pike relied mainly on subpoenas and contempt resolutions and Church mainly on negotiated access, though each used both.</w:t>
            </w:r>
            <w:r>
              <w:rPr>
                <w:sz w:val="20"/>
                <w:vertAlign w:val="superscript"/>
              </w:rPr>
              <w:t xml:space="preserve">see n. 44</w:t>
            </w:r>
            <w:r>
              <w:rPr>
                <w:sz w:val="20"/>
                <w:vertAlign w:val="superscript"/>
              </w:rPr>
              <w:t xml:space="preserve">,</w:t>
            </w:r>
            <w:r>
              <w:rPr>
                <w:sz w:val="20"/>
                <w:vertAlign w:val="superscript"/>
              </w:rPr>
              <w:t xml:space="preserve">see n. 46</w:t>
            </w:r>
          </w:p>
        </w:tc>
      </w:tr>
      <w:tr>
        <w:trPr>
          <w:cantSplit/>
        </w:trPr>
        <w:tc>
          <w:tcPr>
            <w:tcW w:type="pct" w:w="1071"/>
          </w:tcPr>
          <w:p>
            <w:pPr>
              <w:pStyle w:val="Compact"/>
              <w:jc w:val="left"/>
            </w:pPr>
            <w:r>
              <w:rPr>
                <w:sz w:val="20"/>
              </w:rPr>
              <w:t xml:space="preserve">Pike and Church</w:t>
            </w:r>
          </w:p>
        </w:tc>
        <w:tc>
          <w:tcPr>
            <w:tcW w:type="pct" w:w="1071"/>
          </w:tcPr>
          <w:p>
            <w:pPr>
              <w:pStyle w:val="Compact"/>
              <w:jc w:val="left"/>
            </w:pPr>
            <w:r>
              <w:rPr>
                <w:sz w:val="20"/>
              </w:rPr>
              <w:t xml:space="preserve">Selective disclosure</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The executive suspended the Pike committee’s access to classified material in September 1975, then loaned documents on condition that the President arbitrate any public release, and met the subpoenas behind the Kissinger contempt resolutions with reading-room access and a briefing in place of delivery.</w:t>
            </w:r>
            <w:r>
              <w:rPr>
                <w:sz w:val="20"/>
                <w:vertAlign w:val="superscript"/>
              </w:rPr>
              <w:t xml:space="preserve">see n. 45</w:t>
            </w:r>
            <w:r>
              <w:rPr>
                <w:sz w:val="20"/>
              </w:rPr>
              <w:t xml:space="preserve"> </w:t>
            </w:r>
            <w:r>
              <w:rPr>
                <w:sz w:val="20"/>
              </w:rPr>
              <w:t xml:space="preserve">To Church it answered the first SHAMROCK inquiries only after four months,</w:t>
            </w:r>
            <w:r>
              <w:rPr>
                <w:sz w:val="20"/>
                <w:vertAlign w:val="superscript"/>
              </w:rPr>
              <w:t xml:space="preserve">see n. 46</w:t>
            </w:r>
            <w:r>
              <w:rPr>
                <w:sz w:val="20"/>
              </w:rPr>
              <w:t xml:space="preserve"> </w:t>
            </w:r>
            <w:r>
              <w:rPr>
                <w:sz w:val="20"/>
              </w:rPr>
              <w:t xml:space="preserve">which the delay row scores; Church’s own profile therefore marks this row ?. This cell no longer rests on the House vote of January 29, 1976, which was an act of the House.</w:t>
            </w:r>
          </w:p>
        </w:tc>
      </w:tr>
      <w:tr>
        <w:trPr>
          <w:cantSplit/>
        </w:trPr>
        <w:tc>
          <w:tcPr>
            <w:tcW w:type="pct" w:w="1071"/>
          </w:tcPr>
          <w:p>
            <w:pPr>
              <w:pStyle w:val="Compact"/>
              <w:jc w:val="left"/>
            </w:pPr>
            <w:r>
              <w:rPr>
                <w:sz w:val="20"/>
              </w:rPr>
              <w:t xml:space="preserve">Pike and Church</w:t>
            </w:r>
          </w:p>
        </w:tc>
        <w:tc>
          <w:tcPr>
            <w:tcW w:type="pct" w:w="1071"/>
          </w:tcPr>
          <w:p>
            <w:pPr>
              <w:pStyle w:val="Compact"/>
              <w:jc w:val="left"/>
            </w:pPr>
            <w:r>
              <w:rPr>
                <w:sz w:val="20"/>
              </w:rPr>
              <w:t xml:space="preserve">Justification proliferation</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Executive privilege was asserted against one Pike subpoena, and classification was the ground for the release conditions; the record read here does not show grounds multiplying beyond those two.</w:t>
            </w:r>
            <w:r>
              <w:rPr>
                <w:sz w:val="20"/>
                <w:vertAlign w:val="superscript"/>
              </w:rPr>
              <w:t xml:space="preserve">see n. 44</w:t>
            </w:r>
            <w:r>
              <w:rPr>
                <w:sz w:val="20"/>
                <w:vertAlign w:val="superscript"/>
              </w:rPr>
              <w:t xml:space="preserve">,</w:t>
            </w:r>
            <w:r>
              <w:rPr>
                <w:sz w:val="20"/>
                <w:vertAlign w:val="superscript"/>
              </w:rPr>
              <w:t xml:space="preserve">see n. 45</w:t>
            </w:r>
          </w:p>
        </w:tc>
      </w:tr>
      <w:tr>
        <w:trPr>
          <w:cantSplit/>
        </w:trPr>
        <w:tc>
          <w:tcPr>
            <w:tcW w:type="pct" w:w="1071"/>
          </w:tcPr>
          <w:p>
            <w:pPr>
              <w:pStyle w:val="Compact"/>
              <w:jc w:val="left"/>
            </w:pPr>
            <w:r>
              <w:rPr>
                <w:sz w:val="20"/>
              </w:rPr>
              <w:t xml:space="preserve">Pike and Church</w:t>
            </w:r>
          </w:p>
        </w:tc>
        <w:tc>
          <w:tcPr>
            <w:tcW w:type="pct" w:w="1071"/>
          </w:tcPr>
          <w:p>
            <w:pPr>
              <w:pStyle w:val="Compact"/>
              <w:jc w:val="left"/>
            </w:pPr>
            <w:r>
              <w:rPr>
                <w:sz w:val="20"/>
              </w:rPr>
              <w:t xml:space="preserve">Delayed compliance</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Dated events: the September 1975 embargo on classified material; the October 1 agreement; the November 14 contempt resolutions; the accommodations of December 2 and 10. For Church, first inquiries about SHAMROCK in May 1975 were answered in early September, about four months later. Pike’s subpoenas, served November 7 and returnable November 11, were met by accommodations accepted on December 2 and 10, inside ninety days, so Pike’s own profile marks this row ◑.</w:t>
            </w:r>
            <w:r>
              <w:rPr>
                <w:sz w:val="20"/>
                <w:vertAlign w:val="superscript"/>
              </w:rPr>
              <w:t xml:space="preserve">see n. 44</w:t>
            </w:r>
            <w:r>
              <w:rPr>
                <w:sz w:val="20"/>
                <w:vertAlign w:val="superscript"/>
              </w:rPr>
              <w:t xml:space="preserve">,</w:t>
            </w:r>
            <w:r>
              <w:rPr>
                <w:sz w:val="20"/>
                <w:vertAlign w:val="superscript"/>
              </w:rPr>
              <w:t xml:space="preserve">see n. 45</w:t>
            </w:r>
            <w:r>
              <w:rPr>
                <w:sz w:val="20"/>
                <w:vertAlign w:val="superscript"/>
              </w:rPr>
              <w:t xml:space="preserve">,</w:t>
            </w:r>
            <w:r>
              <w:rPr>
                <w:sz w:val="20"/>
                <w:vertAlign w:val="superscript"/>
              </w:rPr>
              <w:t xml:space="preserve">see n. 46</w:t>
            </w:r>
          </w:p>
        </w:tc>
      </w:tr>
      <w:tr>
        <w:trPr>
          <w:cantSplit/>
        </w:trPr>
        <w:tc>
          <w:tcPr>
            <w:tcW w:type="pct" w:w="1071"/>
          </w:tcPr>
          <w:p>
            <w:pPr>
              <w:pStyle w:val="Compact"/>
              <w:jc w:val="left"/>
            </w:pPr>
            <w:r>
              <w:rPr>
                <w:sz w:val="20"/>
              </w:rPr>
              <w:t xml:space="preserve">Pike and Church</w:t>
            </w:r>
          </w:p>
        </w:tc>
        <w:tc>
          <w:tcPr>
            <w:tcW w:type="pct" w:w="1071"/>
          </w:tcPr>
          <w:p>
            <w:pPr>
              <w:pStyle w:val="Compact"/>
              <w:jc w:val="left"/>
            </w:pPr>
            <w:r>
              <w:rPr>
                <w:sz w:val="20"/>
              </w:rPr>
              <w:t xml:space="preserve">Executive self-definition</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Ford’s Executive Order 11905 (February 18, 1976) set an executive-branch charter 68 days before the April 26, 1976 date on Church’s Book I, and the proposed statutory charter never passed; for Pike, the President was made final arbiter of release. Scored on conduct, each is the executive’s own reading, acted on: the order was issued in place of a statutory charter, and from September 18, 1975 the executive withheld classified material from the Pike committee until, on September 26, Pike and the House leadership agreed, and on October 1 the committee voted 10–3, that the President would be final arbiter of what it would make public.</w:t>
            </w:r>
            <w:r>
              <w:rPr>
                <w:sz w:val="20"/>
                <w:vertAlign w:val="superscript"/>
              </w:rPr>
              <w:t xml:space="preserve">see n. 43</w:t>
            </w:r>
            <w:r>
              <w:rPr>
                <w:sz w:val="20"/>
                <w:vertAlign w:val="superscript"/>
              </w:rPr>
              <w:t xml:space="preserve">,</w:t>
            </w:r>
            <w:r>
              <w:rPr>
                <w:sz w:val="20"/>
                <w:vertAlign w:val="superscript"/>
              </w:rPr>
              <w:t xml:space="preserve">see n. 45</w:t>
            </w:r>
          </w:p>
        </w:tc>
      </w:tr>
      <w:tr>
        <w:trPr>
          <w:cantSplit/>
        </w:trPr>
        <w:tc>
          <w:tcPr>
            <w:tcW w:type="pct" w:w="1071"/>
          </w:tcPr>
          <w:p>
            <w:pPr>
              <w:pStyle w:val="Compact"/>
              <w:jc w:val="left"/>
            </w:pPr>
            <w:r>
              <w:rPr>
                <w:sz w:val="20"/>
              </w:rPr>
              <w:t xml:space="preserve">Pike and Church</w:t>
            </w:r>
          </w:p>
        </w:tc>
        <w:tc>
          <w:tcPr>
            <w:tcW w:type="pct" w:w="1071"/>
          </w:tcPr>
          <w:p>
            <w:pPr>
              <w:pStyle w:val="Compact"/>
              <w:jc w:val="left"/>
            </w:pPr>
            <w:r>
              <w:rPr>
                <w:sz w:val="20"/>
              </w:rPr>
              <w:t xml:space="preserve">Majority declines an available remedy</w:t>
            </w:r>
          </w:p>
        </w:tc>
        <w:tc>
          <w:tcPr>
            <w:tcW w:type="pct" w:w="1786"/>
          </w:tcPr>
          <w:p>
            <w:pPr>
              <w:pStyle w:val="Compact"/>
              <w:jc w:val="center"/>
            </w:pPr>
            <w:r>
              <w:rPr>
                <w:sz w:val="20"/>
              </w:rPr>
              <w:t xml:space="preserve">✓ (House) / ◑ (Senate)</w:t>
            </w:r>
          </w:p>
        </w:tc>
        <w:tc>
          <w:tcPr>
            <w:tcW w:type="pct" w:w="1072"/>
          </w:tcPr>
          <w:p>
            <w:pPr>
              <w:pStyle w:val="Compact"/>
              <w:jc w:val="left"/>
            </w:pPr>
            <w:r>
              <w:rPr>
                <w:sz w:val="20"/>
              </w:rPr>
              <w:t xml:space="preserve">Remedies considered: contempt, a suit, publication, and legislation. House: the committee accepted presidential-certification terms 10–3 on October 1, 1975 and declared substantial compliance on its contempt subpoenas in December instead of taking them to the floor; on January 29, 1976 the House voted 246–124, with 127 Democrats and 119 Republicans in the majority, to bar release of classified report material absent presidential certification.</w:t>
            </w:r>
            <w:r>
              <w:rPr>
                <w:sz w:val="20"/>
                <w:vertAlign w:val="superscript"/>
              </w:rPr>
              <w:t xml:space="preserve">see n. 45</w:t>
            </w:r>
            <w:r>
              <w:rPr>
                <w:sz w:val="20"/>
                <w:vertAlign w:val="superscript"/>
              </w:rPr>
              <w:t xml:space="preserve">,</w:t>
            </w:r>
            <w:r>
              <w:rPr>
                <w:sz w:val="20"/>
                <w:vertAlign w:val="superscript"/>
              </w:rPr>
              <w:t xml:space="preserve">see n. 42</w:t>
            </w:r>
            <w:r>
              <w:rPr>
                <w:sz w:val="20"/>
              </w:rPr>
              <w:t xml:space="preserve"> </w:t>
            </w:r>
            <w:r>
              <w:rPr>
                <w:sz w:val="20"/>
              </w:rPr>
              <w:t xml:space="preserve">Senate: the committee published SHAMROCK and the assassination report over presidential objection and the Senate recorded no disapproval, but the statutory charter was not enacted.</w:t>
            </w:r>
            <w:r>
              <w:rPr>
                <w:sz w:val="20"/>
                <w:vertAlign w:val="superscript"/>
              </w:rPr>
              <w:t xml:space="preserve">see n. 46</w:t>
            </w:r>
            <w:r>
              <w:rPr>
                <w:sz w:val="20"/>
                <w:vertAlign w:val="superscript"/>
              </w:rPr>
              <w:t xml:space="preserve">,</w:t>
            </w:r>
            <w:r>
              <w:rPr>
                <w:sz w:val="20"/>
                <w:vertAlign w:val="superscript"/>
              </w:rPr>
              <w:t xml:space="preserve">see n. 47</w:t>
            </w:r>
          </w:p>
        </w:tc>
      </w:tr>
      <w:tr>
        <w:trPr>
          <w:cantSplit/>
        </w:trPr>
        <w:tc>
          <w:tcPr>
            <w:tcW w:type="pct" w:w="1071"/>
          </w:tcPr>
          <w:p>
            <w:pPr>
              <w:pStyle w:val="Compact"/>
              <w:jc w:val="left"/>
            </w:pPr>
            <w:r>
              <w:rPr>
                <w:sz w:val="20"/>
              </w:rPr>
              <w:t xml:space="preserve">Pike and Church</w:t>
            </w:r>
          </w:p>
        </w:tc>
        <w:tc>
          <w:tcPr>
            <w:tcW w:type="pct" w:w="1071"/>
          </w:tcPr>
          <w:p>
            <w:pPr>
              <w:pStyle w:val="Compact"/>
              <w:jc w:val="left"/>
            </w:pPr>
            <w:r>
              <w:rPr>
                <w:sz w:val="20"/>
              </w:rPr>
              <w:t xml:space="preserve">Remedy attempted and defeated outside Congress</w:t>
            </w:r>
          </w:p>
        </w:tc>
        <w:tc>
          <w:tcPr>
            <w:tcW w:type="pct" w:w="1786"/>
          </w:tcPr>
          <w:p>
            <w:pPr>
              <w:pStyle w:val="Compact"/>
              <w:jc w:val="center"/>
            </w:pPr>
            <w:r>
              <w:rPr>
                <w:sz w:val="20"/>
              </w:rPr>
              <w:t xml:space="preserve">n/a</w:t>
            </w:r>
          </w:p>
        </w:tc>
        <w:tc>
          <w:tcPr>
            <w:tcW w:type="pct" w:w="1072"/>
          </w:tcPr>
          <w:p>
            <w:pPr>
              <w:pStyle w:val="Compact"/>
              <w:jc w:val="left"/>
            </w:pPr>
            <w:r>
              <w:rPr>
                <w:sz w:val="20"/>
              </w:rPr>
              <w:t xml:space="preserve">None was attempted. The Pike committee reserved a right to seek judicial determination and did not use it, and its contempt resolutions were not taken to the House floor.</w:t>
            </w:r>
            <w:r>
              <w:rPr>
                <w:sz w:val="20"/>
                <w:vertAlign w:val="superscript"/>
              </w:rPr>
              <w:t xml:space="preserve">see n. 45</w:t>
            </w:r>
            <w:r>
              <w:rPr>
                <w:sz w:val="20"/>
              </w:rPr>
              <w:t xml:space="preserve"> </w:t>
            </w:r>
            <w:r>
              <w:rPr>
                <w:sz w:val="20"/>
              </w:rPr>
              <w:t xml:space="preserve">The one prosecution in the episode for an offence against Congress, of Helms, ended in a plea and fine.</w:t>
            </w:r>
            <w:r>
              <w:rPr>
                <w:sz w:val="20"/>
                <w:vertAlign w:val="superscript"/>
              </w:rPr>
              <w:t xml:space="preserve">see n. 49</w:t>
            </w:r>
          </w:p>
        </w:tc>
      </w:tr>
      <w:tr>
        <w:trPr>
          <w:cantSplit/>
        </w:trPr>
        <w:tc>
          <w:tcPr>
            <w:tcW w:type="pct" w:w="1071"/>
          </w:tcPr>
          <w:p>
            <w:pPr>
              <w:pStyle w:val="Compact"/>
              <w:jc w:val="left"/>
            </w:pPr>
            <w:r>
              <w:rPr>
                <w:sz w:val="20"/>
              </w:rPr>
              <w:t xml:space="preserve">Pike and Church</w:t>
            </w:r>
          </w:p>
        </w:tc>
        <w:tc>
          <w:tcPr>
            <w:tcW w:type="pct" w:w="1071"/>
          </w:tcPr>
          <w:p>
            <w:pPr>
              <w:pStyle w:val="Compact"/>
              <w:jc w:val="left"/>
            </w:pPr>
            <w:r>
              <w:rPr>
                <w:sz w:val="20"/>
              </w:rPr>
              <w:t xml:space="preserve">Informal negotiation</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Both committees bargained: Pike over release terms with the President (the October 1 agreement) and over the contempt subpoenas (the December compromise, of which Pike said</w:t>
            </w:r>
            <w:r>
              <w:rPr>
                <w:sz w:val="20"/>
              </w:rPr>
              <w:t xml:space="preserve"> </w:t>
            </w:r>
            <w:r>
              <w:rPr>
                <w:sz w:val="20"/>
              </w:rPr>
              <w:t xml:space="preserve">“</w:t>
            </w:r>
            <w:r>
              <w:rPr>
                <w:sz w:val="20"/>
              </w:rPr>
              <w:t xml:space="preserve">we got more than they wanted to give us</w:t>
            </w:r>
            <w:r>
              <w:rPr>
                <w:sz w:val="20"/>
              </w:rPr>
              <w:t xml:space="preserve">”</w:t>
            </w:r>
            <w:r>
              <w:rPr>
                <w:sz w:val="20"/>
              </w:rPr>
              <w:t xml:space="preserve">); Church over access throughout.</w:t>
            </w:r>
            <w:r>
              <w:rPr>
                <w:sz w:val="20"/>
                <w:vertAlign w:val="superscript"/>
              </w:rPr>
              <w:t xml:space="preserve">see n. 45</w:t>
            </w:r>
            <w:r>
              <w:rPr>
                <w:sz w:val="20"/>
                <w:vertAlign w:val="superscript"/>
              </w:rPr>
              <w:t xml:space="preserve">,</w:t>
            </w:r>
            <w:r>
              <w:rPr>
                <w:sz w:val="20"/>
                <w:vertAlign w:val="superscript"/>
              </w:rPr>
              <w:t xml:space="preserve">see n. 43</w:t>
            </w:r>
          </w:p>
        </w:tc>
      </w:tr>
      <w:tr>
        <w:trPr>
          <w:cantSplit/>
        </w:trPr>
        <w:tc>
          <w:tcPr>
            <w:tcW w:type="pct" w:w="1071"/>
          </w:tcPr>
          <w:p>
            <w:pPr>
              <w:pStyle w:val="Compact"/>
              <w:jc w:val="left"/>
            </w:pPr>
            <w:r>
              <w:rPr>
                <w:sz w:val="20"/>
              </w:rPr>
              <w:t xml:space="preserve">Pike and Church</w:t>
            </w:r>
          </w:p>
        </w:tc>
        <w:tc>
          <w:tcPr>
            <w:tcW w:type="pct" w:w="1071"/>
          </w:tcPr>
          <w:p>
            <w:pPr>
              <w:pStyle w:val="Compact"/>
              <w:jc w:val="left"/>
            </w:pPr>
            <w:r>
              <w:rPr>
                <w:sz w:val="20"/>
              </w:rPr>
              <w:t xml:space="preserve">Limited individual accountability</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Accountability was limited and partly reversed. Former Director of Central Intelligence Richard Helms pleaded nolo contendere in 1977 to two misdemeanors of not testifying fully to the Senate about CIA covert action in Chile, drawing a suspended sentence and a $2,000 fine; FBI officials W. Mark Felt and Edward S. Miller, convicted in 1980 of conspiracy to violate citizens’ rights through 1972–1973 warrantless break-ins, were pardoned by President Reagan while their appeal was pending, as he announced on April 15, 1981. The Helms plea and fine remained.</w:t>
            </w:r>
            <w:r>
              <w:rPr>
                <w:sz w:val="20"/>
                <w:vertAlign w:val="superscript"/>
              </w:rPr>
              <w:t xml:space="preserve">see n. 49</w:t>
            </w:r>
          </w:p>
        </w:tc>
      </w:tr>
      <w:tr>
        <w:trPr>
          <w:cantSplit/>
        </w:trPr>
        <w:tc>
          <w:tcPr>
            <w:tcW w:type="pct" w:w="1071"/>
          </w:tcPr>
          <w:p>
            <w:pPr>
              <w:pStyle w:val="Compact"/>
              <w:jc w:val="left"/>
            </w:pPr>
            <w:r>
              <w:rPr>
                <w:sz w:val="20"/>
              </w:rPr>
              <w:t xml:space="preserve">Iran-Contra</w:t>
            </w:r>
          </w:p>
        </w:tc>
        <w:tc>
          <w:tcPr>
            <w:tcW w:type="pct" w:w="1071"/>
          </w:tcPr>
          <w:p>
            <w:pPr>
              <w:pStyle w:val="Compact"/>
              <w:jc w:val="left"/>
            </w:pPr>
            <w:r>
              <w:rPr>
                <w:sz w:val="20"/>
              </w:rPr>
              <w:t xml:space="preserve">Exogenous rupture</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The Hasenfus shootdown (October 5, 1986) exposed the Contra-resupply half and the</w:t>
            </w:r>
            <w:r>
              <w:rPr>
                <w:sz w:val="20"/>
              </w:rPr>
              <w:t xml:space="preserve"> </w:t>
            </w:r>
            <w:r>
              <w:rPr>
                <w:iCs/>
                <w:i/>
                <w:sz w:val="20"/>
              </w:rPr>
              <w:t xml:space="preserve">Ash-Shiraa</w:t>
            </w:r>
            <w:r>
              <w:rPr>
                <w:sz w:val="20"/>
              </w:rPr>
              <w:t xml:space="preserve"> </w:t>
            </w:r>
            <w:r>
              <w:rPr>
                <w:sz w:val="20"/>
              </w:rPr>
              <w:t xml:space="preserve">report (November 3, 1986) the Iran half; both broke from outside the oversight channel.</w:t>
            </w:r>
            <w:r>
              <w:rPr>
                <w:sz w:val="20"/>
                <w:vertAlign w:val="superscript"/>
              </w:rPr>
              <w:t xml:space="preserve">see n. 50</w:t>
            </w:r>
            <w:r>
              <w:rPr>
                <w:sz w:val="20"/>
                <w:vertAlign w:val="superscript"/>
              </w:rPr>
              <w:t xml:space="preserve">,</w:t>
            </w:r>
            <w:r>
              <w:rPr>
                <w:sz w:val="20"/>
                <w:vertAlign w:val="superscript"/>
              </w:rPr>
              <w:t xml:space="preserve">see n. 51</w:t>
            </w:r>
          </w:p>
        </w:tc>
      </w:tr>
      <w:tr>
        <w:trPr>
          <w:cantSplit/>
        </w:trPr>
        <w:tc>
          <w:tcPr>
            <w:tcW w:type="pct" w:w="1071"/>
          </w:tcPr>
          <w:p>
            <w:pPr>
              <w:pStyle w:val="Compact"/>
              <w:jc w:val="left"/>
            </w:pPr>
            <w:r>
              <w:rPr>
                <w:sz w:val="20"/>
              </w:rPr>
              <w:t xml:space="preserve">Iran-Contra</w:t>
            </w:r>
          </w:p>
        </w:tc>
        <w:tc>
          <w:tcPr>
            <w:tcW w:type="pct" w:w="1071"/>
          </w:tcPr>
          <w:p>
            <w:pPr>
              <w:pStyle w:val="Compact"/>
              <w:jc w:val="left"/>
            </w:pPr>
            <w:r>
              <w:rPr>
                <w:sz w:val="20"/>
              </w:rPr>
              <w:t xml:space="preserve">Demand posture</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The House and Senate select committees (H. Res. 12 and S. Res. 23) held joint hearings with subpoena power and obtained testimony under immunity orders.</w:t>
            </w:r>
            <w:r>
              <w:rPr>
                <w:sz w:val="20"/>
                <w:vertAlign w:val="superscript"/>
              </w:rPr>
              <w:t xml:space="preserve">see n. 51</w:t>
            </w:r>
            <w:r>
              <w:rPr>
                <w:sz w:val="20"/>
                <w:vertAlign w:val="superscript"/>
              </w:rPr>
              <w:t xml:space="preserve">,</w:t>
            </w:r>
            <w:r>
              <w:rPr>
                <w:sz w:val="20"/>
                <w:vertAlign w:val="superscript"/>
              </w:rPr>
              <w:t xml:space="preserve">see n. 53</w:t>
            </w:r>
          </w:p>
        </w:tc>
      </w:tr>
      <w:tr>
        <w:trPr>
          <w:cantSplit/>
        </w:trPr>
        <w:tc>
          <w:tcPr>
            <w:tcW w:type="pct" w:w="1071"/>
          </w:tcPr>
          <w:p>
            <w:pPr>
              <w:pStyle w:val="Compact"/>
              <w:jc w:val="left"/>
            </w:pPr>
            <w:r>
              <w:rPr>
                <w:sz w:val="20"/>
              </w:rPr>
              <w:t xml:space="preserve">Iran-Contra</w:t>
            </w:r>
          </w:p>
        </w:tc>
        <w:tc>
          <w:tcPr>
            <w:tcW w:type="pct" w:w="1071"/>
          </w:tcPr>
          <w:p>
            <w:pPr>
              <w:pStyle w:val="Compact"/>
              <w:jc w:val="left"/>
            </w:pPr>
            <w:r>
              <w:rPr>
                <w:sz w:val="20"/>
              </w:rPr>
              <w:t xml:space="preserve">Selective disclosure</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Senior officials held back information from Congress: the contemporaneous notes of Weinberger and Regan, and those dictated by Shultz, were withheld until 1991 and 1992, and Poindexter, North, and others shredded documents from November 21, 1986, as the Attorney General’s inquiry began and before the Independent Counsel was appointed or the select committees were established.</w:t>
            </w:r>
            <w:r>
              <w:rPr>
                <w:sz w:val="20"/>
                <w:vertAlign w:val="superscript"/>
              </w:rPr>
              <w:t xml:space="preserve">see n. 52</w:t>
            </w:r>
            <w:r>
              <w:rPr>
                <w:sz w:val="20"/>
              </w:rPr>
              <w:t xml:space="preserve"> </w:t>
            </w:r>
            <w:r>
              <w:rPr>
                <w:sz w:val="20"/>
              </w:rPr>
              <w:t xml:space="preserve">The previous edition scored this cell mixed on the ground that immunity bounded later prosecutions, which describes Congress’s act and not the executive’s disclosure.</w:t>
            </w:r>
          </w:p>
        </w:tc>
      </w:tr>
      <w:tr>
        <w:trPr>
          <w:cantSplit/>
        </w:trPr>
        <w:tc>
          <w:tcPr>
            <w:tcW w:type="pct" w:w="1071"/>
          </w:tcPr>
          <w:p>
            <w:pPr>
              <w:pStyle w:val="Compact"/>
              <w:jc w:val="left"/>
            </w:pPr>
            <w:r>
              <w:rPr>
                <w:sz w:val="20"/>
              </w:rPr>
              <w:t xml:space="preserve">Iran-Contra</w:t>
            </w:r>
          </w:p>
        </w:tc>
        <w:tc>
          <w:tcPr>
            <w:tcW w:type="pct" w:w="1071"/>
          </w:tcPr>
          <w:p>
            <w:pPr>
              <w:pStyle w:val="Compact"/>
              <w:jc w:val="left"/>
            </w:pPr>
            <w:r>
              <w:rPr>
                <w:sz w:val="20"/>
              </w:rPr>
              <w:t xml:space="preserve">Justification proliferation</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A doctrine of presidential discretion over notification was advanced in the Cooper opinion, NSDD-286, and the 1989 Bush letter to Senator Boren, and endorsed in the committees’ minority report. NSDD-286 also narrowed that discretion while reserving it: it barred retroactive findings and, where prior notice was withheld, set notice to the committees within two working days unless the President directed otherwise.</w:t>
            </w:r>
            <w:r>
              <w:rPr>
                <w:sz w:val="20"/>
                <w:vertAlign w:val="superscript"/>
              </w:rPr>
              <w:t xml:space="preserve">see n. 54</w:t>
            </w:r>
          </w:p>
        </w:tc>
      </w:tr>
      <w:tr>
        <w:trPr>
          <w:cantSplit/>
        </w:trPr>
        <w:tc>
          <w:tcPr>
            <w:tcW w:type="pct" w:w="1071"/>
          </w:tcPr>
          <w:p>
            <w:pPr>
              <w:pStyle w:val="Compact"/>
              <w:jc w:val="left"/>
            </w:pPr>
            <w:r>
              <w:rPr>
                <w:sz w:val="20"/>
              </w:rPr>
              <w:t xml:space="preserve">Iran-Contra</w:t>
            </w:r>
          </w:p>
        </w:tc>
        <w:tc>
          <w:tcPr>
            <w:tcW w:type="pct" w:w="1071"/>
          </w:tcPr>
          <w:p>
            <w:pPr>
              <w:pStyle w:val="Compact"/>
              <w:jc w:val="left"/>
            </w:pPr>
            <w:r>
              <w:rPr>
                <w:sz w:val="20"/>
              </w:rPr>
              <w:t xml:space="preserve">Delayed compliance</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The select committees reported in November 1987 without the contemporaneous notes of Weinberger and Regan, and those dictated by Shultz, which were never produced to them. The notes reached the Independent Counsel only in 1991 and 1992, Weinberger’s in late 1991; Regan’s 1992 notes and the December 1992 discovery that Bush had failed to produce a diary are sequels. The Independent Counsel records that the limitation period had run on November 1986 activities before his office obtained its evidence.</w:t>
            </w:r>
            <w:r>
              <w:rPr>
                <w:sz w:val="20"/>
                <w:vertAlign w:val="superscript"/>
              </w:rPr>
              <w:t xml:space="preserve">see n. 52</w:t>
            </w:r>
            <w:r>
              <w:rPr>
                <w:sz w:val="20"/>
              </w:rPr>
              <w:t xml:space="preserve"> </w:t>
            </w:r>
            <w:r>
              <w:rPr>
                <w:sz w:val="20"/>
              </w:rPr>
              <w:t xml:space="preserve">The previous edition scored this cell contrary because the committees convened promptly, which describes Congress and not the executive.</w:t>
            </w:r>
          </w:p>
        </w:tc>
      </w:tr>
      <w:tr>
        <w:trPr>
          <w:cantSplit/>
        </w:trPr>
        <w:tc>
          <w:tcPr>
            <w:tcW w:type="pct" w:w="1071"/>
          </w:tcPr>
          <w:p>
            <w:pPr>
              <w:pStyle w:val="Compact"/>
              <w:jc w:val="left"/>
            </w:pPr>
            <w:r>
              <w:rPr>
                <w:sz w:val="20"/>
              </w:rPr>
              <w:t xml:space="preserve">Iran-Contra</w:t>
            </w:r>
          </w:p>
        </w:tc>
        <w:tc>
          <w:tcPr>
            <w:tcW w:type="pct" w:w="1071"/>
          </w:tcPr>
          <w:p>
            <w:pPr>
              <w:pStyle w:val="Compact"/>
              <w:jc w:val="left"/>
            </w:pPr>
            <w:r>
              <w:rPr>
                <w:sz w:val="20"/>
              </w:rPr>
              <w:t xml:space="preserve">Executive self-definition</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The executive treated covert-action notification as a matter of presidential discretion and reserved constitutional authority to withhold notice beyond a few days.</w:t>
            </w:r>
            <w:r>
              <w:rPr>
                <w:sz w:val="20"/>
                <w:vertAlign w:val="superscript"/>
              </w:rPr>
              <w:t xml:space="preserve">see n. 54</w:t>
            </w:r>
            <w:r>
              <w:rPr>
                <w:sz w:val="20"/>
                <w:vertAlign w:val="superscript"/>
              </w:rPr>
              <w:t xml:space="preserve">,</w:t>
            </w:r>
            <w:r>
              <w:rPr>
                <w:sz w:val="20"/>
                <w:vertAlign w:val="superscript"/>
              </w:rPr>
              <w:t xml:space="preserve">see n. 56</w:t>
            </w:r>
          </w:p>
        </w:tc>
      </w:tr>
      <w:tr>
        <w:trPr>
          <w:cantSplit/>
        </w:trPr>
        <w:tc>
          <w:tcPr>
            <w:tcW w:type="pct" w:w="1071"/>
          </w:tcPr>
          <w:p>
            <w:pPr>
              <w:pStyle w:val="Compact"/>
              <w:jc w:val="left"/>
            </w:pPr>
            <w:r>
              <w:rPr>
                <w:sz w:val="20"/>
              </w:rPr>
              <w:t xml:space="preserve">Iran-Contra</w:t>
            </w:r>
          </w:p>
        </w:tc>
        <w:tc>
          <w:tcPr>
            <w:tcW w:type="pct" w:w="1071"/>
          </w:tcPr>
          <w:p>
            <w:pPr>
              <w:pStyle w:val="Compact"/>
              <w:jc w:val="left"/>
            </w:pPr>
            <w:r>
              <w:rPr>
                <w:sz w:val="20"/>
              </w:rPr>
              <w:t xml:space="preserve">Majority declines an available remedy</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Remedies considered: immunity orders, a public report, and legislation, all used. The intelligence committees pressed notification legislation for almost four years, through one veto, to the 1991 Act; they did not obtain the 48-hour rule, and the constitutional reservation stood, which is the partial success of a remedy used, not a remedy declined.</w:t>
            </w:r>
            <w:r>
              <w:rPr>
                <w:sz w:val="20"/>
                <w:vertAlign w:val="superscript"/>
              </w:rPr>
              <w:t xml:space="preserve">see n. 56</w:t>
            </w:r>
            <w:r>
              <w:rPr>
                <w:sz w:val="20"/>
              </w:rPr>
              <w:t xml:space="preserve"> </w:t>
            </w:r>
            <w:r>
              <w:rPr>
                <w:sz w:val="20"/>
              </w:rPr>
              <w:t xml:space="preserve">The sources read document no remedy that the committees or either chamber declined, so the cell is contrary, and Iran-Contra is the one historical case in which Congress used every remedy it considered. The December 1992 pardons are a presidential act and are not scored in this row.</w:t>
            </w:r>
          </w:p>
        </w:tc>
      </w:tr>
      <w:tr>
        <w:trPr>
          <w:cantSplit/>
        </w:trPr>
        <w:tc>
          <w:tcPr>
            <w:tcW w:type="pct" w:w="1071"/>
          </w:tcPr>
          <w:p>
            <w:pPr>
              <w:pStyle w:val="Compact"/>
              <w:jc w:val="left"/>
            </w:pPr>
            <w:r>
              <w:rPr>
                <w:sz w:val="20"/>
              </w:rPr>
              <w:t xml:space="preserve">Iran-Contra</w:t>
            </w:r>
          </w:p>
        </w:tc>
        <w:tc>
          <w:tcPr>
            <w:tcW w:type="pct" w:w="1071"/>
          </w:tcPr>
          <w:p>
            <w:pPr>
              <w:pStyle w:val="Compact"/>
              <w:jc w:val="left"/>
            </w:pPr>
            <w:r>
              <w:rPr>
                <w:sz w:val="20"/>
              </w:rPr>
              <w:t xml:space="preserve">Remedy attempted and defeated outside Congress</w:t>
            </w:r>
          </w:p>
        </w:tc>
        <w:tc>
          <w:tcPr>
            <w:tcW w:type="pct" w:w="1786"/>
          </w:tcPr>
          <w:p>
            <w:pPr>
              <w:pStyle w:val="Compact"/>
              <w:jc w:val="center"/>
            </w:pPr>
            <w:r>
              <w:rPr>
                <w:sz w:val="20"/>
              </w:rPr>
              <w:t xml:space="preserve">n/a</w:t>
            </w:r>
          </w:p>
        </w:tc>
        <w:tc>
          <w:tcPr>
            <w:tcW w:type="pct" w:w="1072"/>
          </w:tcPr>
          <w:p>
            <w:pPr>
              <w:pStyle w:val="Compact"/>
              <w:jc w:val="left"/>
            </w:pPr>
            <w:r>
              <w:rPr>
                <w:sz w:val="20"/>
              </w:rPr>
              <w:t xml:space="preserve">Initiator/request: no congressional act invoking the scored prosecutions is documented here; the Attorney General requested appointment of an independent counsel. Decision-maker: the Special Division appointed Walsh, who prosecuted. Requested result: investigation and, if warranted, prosecution. Observed disposition: convictions, reversals and pardons are retained in individual accountability below, rather than scored as a congressional remedy merely because an offence was against Congress.</w:t>
            </w:r>
            <w:r>
              <w:rPr>
                <w:sz w:val="20"/>
                <w:vertAlign w:val="superscript"/>
              </w:rPr>
              <w:t xml:space="preserve">see n. 58</w:t>
            </w:r>
            <w:r>
              <w:rPr>
                <w:sz w:val="20"/>
              </w:rPr>
              <w:t xml:space="preserve"> </w:t>
            </w:r>
            <w:r>
              <w:rPr>
                <w:sz w:val="20"/>
              </w:rPr>
              <w:t xml:space="preserve">This n/a is a limit of the cited coding warrant, not a finding that no congressional referral ever occurred.</w:t>
            </w:r>
          </w:p>
        </w:tc>
      </w:tr>
      <w:tr>
        <w:trPr>
          <w:cantSplit/>
        </w:trPr>
        <w:tc>
          <w:tcPr>
            <w:tcW w:type="pct" w:w="1071"/>
          </w:tcPr>
          <w:p>
            <w:pPr>
              <w:pStyle w:val="Compact"/>
              <w:jc w:val="left"/>
            </w:pPr>
            <w:r>
              <w:rPr>
                <w:sz w:val="20"/>
              </w:rPr>
              <w:t xml:space="preserve">Iran-Contra</w:t>
            </w:r>
          </w:p>
        </w:tc>
        <w:tc>
          <w:tcPr>
            <w:tcW w:type="pct" w:w="1071"/>
          </w:tcPr>
          <w:p>
            <w:pPr>
              <w:pStyle w:val="Compact"/>
              <w:jc w:val="left"/>
            </w:pPr>
            <w:r>
              <w:rPr>
                <w:sz w:val="20"/>
              </w:rPr>
              <w:t xml:space="preserve">Informal negotiation</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The 1991 notification settlement was negotiated between the intelligence committees and two administrations, and the timing of the immunity orders was negotiated between the committees and the Independent Counsel in March 1987.</w:t>
            </w:r>
            <w:r>
              <w:rPr>
                <w:sz w:val="20"/>
                <w:vertAlign w:val="superscript"/>
              </w:rPr>
              <w:t xml:space="preserve">see n. 56</w:t>
            </w:r>
            <w:r>
              <w:rPr>
                <w:sz w:val="20"/>
                <w:vertAlign w:val="superscript"/>
              </w:rPr>
              <w:t xml:space="preserve">,</w:t>
            </w:r>
            <w:r>
              <w:rPr>
                <w:sz w:val="20"/>
                <w:vertAlign w:val="superscript"/>
              </w:rPr>
              <w:t xml:space="preserve">see n. 53</w:t>
            </w:r>
          </w:p>
        </w:tc>
      </w:tr>
      <w:tr>
        <w:trPr>
          <w:cantSplit/>
        </w:trPr>
        <w:tc>
          <w:tcPr>
            <w:tcW w:type="pct" w:w="1071"/>
          </w:tcPr>
          <w:p>
            <w:pPr>
              <w:pStyle w:val="Compact"/>
              <w:jc w:val="left"/>
            </w:pPr>
            <w:r>
              <w:rPr>
                <w:sz w:val="20"/>
              </w:rPr>
              <w:t xml:space="preserve">Iran-Contra</w:t>
            </w:r>
          </w:p>
        </w:tc>
        <w:tc>
          <w:tcPr>
            <w:tcW w:type="pct" w:w="1071"/>
          </w:tcPr>
          <w:p>
            <w:pPr>
              <w:pStyle w:val="Compact"/>
              <w:jc w:val="left"/>
            </w:pPr>
            <w:r>
              <w:rPr>
                <w:sz w:val="20"/>
              </w:rPr>
              <w:t xml:space="preserve">Limited individual accountability</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Mixed. The prosecutions, including those for offences against Congress, are scored here rather than as congressional invocations: McFarlane, Abrams and Fiers pleaded guilty to withholding information from Congress, and George was convicted of false statements and perjury before Congress. The Fernandez case, charging obstruction of the Tower Commission and false statements to government agencies, was dismissed after the Attorney General barred disclosure of classified evidence.</w:t>
            </w:r>
            <w:r>
              <w:rPr>
                <w:sz w:val="20"/>
                <w:vertAlign w:val="superscript"/>
              </w:rPr>
              <w:t xml:space="preserve">see n. 57</w:t>
            </w:r>
            <w:r>
              <w:rPr>
                <w:sz w:val="20"/>
                <w:vertAlign w:val="superscript"/>
              </w:rPr>
              <w:t xml:space="preserve">,</w:t>
            </w:r>
            <w:r>
              <w:rPr>
                <w:sz w:val="20"/>
                <w:vertAlign w:val="superscript"/>
              </w:rPr>
              <w:t xml:space="preserve">see n. 112</w:t>
            </w:r>
            <w:r>
              <w:rPr>
                <w:sz w:val="20"/>
              </w:rPr>
              <w:t xml:space="preserve"> </w:t>
            </w:r>
            <w:r>
              <w:rPr>
                <w:sz w:val="20"/>
              </w:rPr>
              <w:t xml:space="preserve">Of fourteen persons charged, eleven were convicted and several convictions and pleas survived. North’s conviction was vacated and Poindexter’s reversed on use-immunity grounds. Bush pardoned four convicted defendants (McFarlane, Abrams, Fiers, George) and two awaiting trial (Weinberger, Clarridge). Pardons foreclosed or remitted criminal consequences; they did not expunge the convictions, pleas, or historical findings.</w:t>
            </w:r>
            <w:r>
              <w:rPr>
                <w:sz w:val="20"/>
                <w:vertAlign w:val="superscript"/>
              </w:rPr>
              <w:t xml:space="preserve">see n. 58</w:t>
            </w:r>
          </w:p>
        </w:tc>
      </w:tr>
      <w:tr>
        <w:trPr>
          <w:cantSplit/>
        </w:trPr>
        <w:tc>
          <w:tcPr>
            <w:tcW w:type="pct" w:w="1071"/>
          </w:tcPr>
          <w:p>
            <w:pPr>
              <w:pStyle w:val="Compact"/>
              <w:jc w:val="left"/>
            </w:pPr>
            <w:r>
              <w:rPr>
                <w:sz w:val="20"/>
              </w:rPr>
              <w:t xml:space="preserve">NSA bulk collection</w:t>
            </w:r>
          </w:p>
        </w:tc>
        <w:tc>
          <w:tcPr>
            <w:tcW w:type="pct" w:w="1071"/>
          </w:tcPr>
          <w:p>
            <w:pPr>
              <w:pStyle w:val="Compact"/>
              <w:jc w:val="left"/>
            </w:pPr>
            <w:r>
              <w:rPr>
                <w:sz w:val="20"/>
              </w:rPr>
              <w:t xml:space="preserve">Exogenous rupture</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The program’s court order and Section 215 basis reached public view through Snowden’s June 2013 disclosures; a May 2006</w:t>
            </w:r>
            <w:r>
              <w:rPr>
                <w:sz w:val="20"/>
              </w:rPr>
              <w:t xml:space="preserve"> </w:t>
            </w:r>
            <w:r>
              <w:rPr>
                <w:iCs/>
                <w:i/>
                <w:sz w:val="20"/>
              </w:rPr>
              <w:t xml:space="preserve">USA Today</w:t>
            </w:r>
            <w:r>
              <w:rPr>
                <w:sz w:val="20"/>
              </w:rPr>
              <w:t xml:space="preserve"> </w:t>
            </w:r>
            <w:r>
              <w:rPr>
                <w:sz w:val="20"/>
              </w:rPr>
              <w:t xml:space="preserve">report had described the collection of call records. Both came from outside Congress.</w:t>
            </w:r>
            <w:r>
              <w:rPr>
                <w:sz w:val="20"/>
                <w:vertAlign w:val="superscript"/>
              </w:rPr>
              <w:t xml:space="preserve">see n. 60</w:t>
            </w:r>
            <w:r>
              <w:rPr>
                <w:sz w:val="20"/>
              </w:rPr>
              <w:t xml:space="preserve"> </w:t>
            </w:r>
            <w:r>
              <w:rPr>
                <w:sz w:val="20"/>
              </w:rPr>
              <w:t xml:space="preserve">A December 2005</w:t>
            </w:r>
            <w:r>
              <w:rPr>
                <w:sz w:val="20"/>
              </w:rPr>
              <w:t xml:space="preserve"> </w:t>
            </w:r>
            <w:r>
              <w:rPr>
                <w:iCs/>
                <w:i/>
                <w:sz w:val="20"/>
              </w:rPr>
              <w:t xml:space="preserve">New York Times</w:t>
            </w:r>
            <w:r>
              <w:rPr>
                <w:sz w:val="20"/>
              </w:rPr>
              <w:t xml:space="preserve"> </w:t>
            </w:r>
            <w:r>
              <w:rPr>
                <w:sz w:val="20"/>
              </w:rPr>
              <w:t xml:space="preserve">report, also from outside, concerned warrantless interception of international calls and e-mail under the same presidential program and did not disclose the call-records collection; the NSA then briefed the surveillance court’s judges.</w:t>
            </w:r>
            <w:r>
              <w:rPr>
                <w:sz w:val="20"/>
                <w:vertAlign w:val="superscript"/>
              </w:rPr>
              <w:t xml:space="preserve">see n. 59</w:t>
            </w:r>
            <w:r>
              <w:rPr>
                <w:sz w:val="20"/>
              </w:rPr>
              <w:t xml:space="preserve"> </w:t>
            </w:r>
            <w:r>
              <w:rPr>
                <w:sz w:val="20"/>
              </w:rPr>
              <w:t xml:space="preserve">Wyden and Udall raised alarms inside the channel in 2011 and 2012, within classification limits.</w:t>
            </w:r>
            <w:r>
              <w:rPr>
                <w:sz w:val="20"/>
                <w:vertAlign w:val="superscript"/>
              </w:rPr>
              <w:t xml:space="preserve">see n. 62</w:t>
            </w:r>
          </w:p>
        </w:tc>
      </w:tr>
      <w:tr>
        <w:trPr>
          <w:cantSplit/>
        </w:trPr>
        <w:tc>
          <w:tcPr>
            <w:tcW w:type="pct" w:w="1071"/>
          </w:tcPr>
          <w:p>
            <w:pPr>
              <w:pStyle w:val="Compact"/>
              <w:jc w:val="left"/>
            </w:pPr>
            <w:r>
              <w:rPr>
                <w:sz w:val="20"/>
              </w:rPr>
              <w:t xml:space="preserve">NSA bulk collection</w:t>
            </w:r>
          </w:p>
        </w:tc>
        <w:tc>
          <w:tcPr>
            <w:tcW w:type="pct" w:w="1071"/>
          </w:tcPr>
          <w:p>
            <w:pPr>
              <w:pStyle w:val="Compact"/>
              <w:jc w:val="left"/>
            </w:pPr>
            <w:r>
              <w:rPr>
                <w:sz w:val="20"/>
              </w:rPr>
              <w:t xml:space="preserve">Demand posture</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Wyden and Udall used public letters under secrecy constraints. S. Res. 400 also permitted subpoenas and a formal classified-information disclosure process; the letters were not the only authorized means of challenge.</w:t>
            </w:r>
            <w:r>
              <w:rPr>
                <w:sz w:val="20"/>
                <w:vertAlign w:val="superscript"/>
              </w:rPr>
              <w:t xml:space="preserve">see n. 62</w:t>
            </w:r>
            <w:r>
              <w:rPr>
                <w:sz w:val="20"/>
                <w:vertAlign w:val="superscript"/>
              </w:rPr>
              <w:t xml:space="preserve">,</w:t>
            </w:r>
            <w:r>
              <w:rPr>
                <w:sz w:val="20"/>
                <w:vertAlign w:val="superscript"/>
              </w:rPr>
              <w:t xml:space="preserve">see n. 63</w:t>
            </w:r>
          </w:p>
        </w:tc>
      </w:tr>
      <w:tr>
        <w:trPr>
          <w:cantSplit/>
        </w:trPr>
        <w:tc>
          <w:tcPr>
            <w:tcW w:type="pct" w:w="1071"/>
          </w:tcPr>
          <w:p>
            <w:pPr>
              <w:pStyle w:val="Compact"/>
              <w:jc w:val="left"/>
            </w:pPr>
            <w:r>
              <w:rPr>
                <w:sz w:val="20"/>
              </w:rPr>
              <w:t xml:space="preserve">NSA bulk collection</w:t>
            </w:r>
          </w:p>
        </w:tc>
        <w:tc>
          <w:tcPr>
            <w:tcW w:type="pct" w:w="1071"/>
          </w:tcPr>
          <w:p>
            <w:pPr>
              <w:pStyle w:val="Compact"/>
              <w:jc w:val="left"/>
            </w:pPr>
            <w:r>
              <w:rPr>
                <w:sz w:val="20"/>
              </w:rPr>
              <w:t xml:space="preserve">Selective disclosure</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The legal interpretation was given to four committees and withheld from the public and, in the orders themselves, from other members; the first court opinion explaining it was issued on August 29, 2013.</w:t>
            </w:r>
            <w:r>
              <w:rPr>
                <w:sz w:val="20"/>
                <w:vertAlign w:val="superscript"/>
              </w:rPr>
              <w:t xml:space="preserve">see n. 62</w:t>
            </w:r>
            <w:r>
              <w:rPr>
                <w:sz w:val="20"/>
                <w:vertAlign w:val="superscript"/>
              </w:rPr>
              <w:t xml:space="preserve">,</w:t>
            </w:r>
            <w:r>
              <w:rPr>
                <w:sz w:val="20"/>
                <w:vertAlign w:val="superscript"/>
              </w:rPr>
              <w:t xml:space="preserve">see n. 60</w:t>
            </w:r>
          </w:p>
        </w:tc>
      </w:tr>
      <w:tr>
        <w:trPr>
          <w:cantSplit/>
        </w:trPr>
        <w:tc>
          <w:tcPr>
            <w:tcW w:type="pct" w:w="1071"/>
          </w:tcPr>
          <w:p>
            <w:pPr>
              <w:pStyle w:val="Compact"/>
              <w:jc w:val="left"/>
            </w:pPr>
            <w:r>
              <w:rPr>
                <w:sz w:val="20"/>
              </w:rPr>
              <w:t xml:space="preserve">NSA bulk collection</w:t>
            </w:r>
          </w:p>
        </w:tc>
        <w:tc>
          <w:tcPr>
            <w:tcW w:type="pct" w:w="1071"/>
          </w:tcPr>
          <w:p>
            <w:pPr>
              <w:pStyle w:val="Compact"/>
              <w:jc w:val="left"/>
            </w:pPr>
            <w:r>
              <w:rPr>
                <w:sz w:val="20"/>
              </w:rPr>
              <w:t xml:space="preserve">Justification proliferation</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The evidence concerns collection authority, the classified reading of Section 215 that the Second Circuit later held the statute did not authorize, and not grounds for withholding; classification was the single withholding ground throughout. Scored mixed because the indicator as defined is only partly engaged.</w:t>
            </w:r>
            <w:r>
              <w:rPr>
                <w:sz w:val="20"/>
                <w:vertAlign w:val="superscript"/>
              </w:rPr>
              <w:t xml:space="preserve">see n. 60</w:t>
            </w:r>
          </w:p>
        </w:tc>
      </w:tr>
      <w:tr>
        <w:trPr>
          <w:cantSplit/>
        </w:trPr>
        <w:tc>
          <w:tcPr>
            <w:tcW w:type="pct" w:w="1071"/>
          </w:tcPr>
          <w:p>
            <w:pPr>
              <w:pStyle w:val="Compact"/>
              <w:jc w:val="left"/>
            </w:pPr>
            <w:r>
              <w:rPr>
                <w:sz w:val="20"/>
              </w:rPr>
              <w:t xml:space="preserve">NSA bulk collection</w:t>
            </w:r>
          </w:p>
        </w:tc>
        <w:tc>
          <w:tcPr>
            <w:tcW w:type="pct" w:w="1071"/>
          </w:tcPr>
          <w:p>
            <w:pPr>
              <w:pStyle w:val="Compact"/>
              <w:jc w:val="left"/>
            </w:pPr>
            <w:r>
              <w:rPr>
                <w:sz w:val="20"/>
              </w:rPr>
              <w:t xml:space="preserve">Delayed compliance</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In August 2009 DOJ and the Office of the Director of National Intelligence announced a process for releasing significant court opinions; in March 2012 Wyden and Udall wrote that not one redacted opinion had been released, and the first opinion on the program appeared after the 2013 disclosures.</w:t>
            </w:r>
            <w:r>
              <w:rPr>
                <w:sz w:val="20"/>
                <w:vertAlign w:val="superscript"/>
              </w:rPr>
              <w:t xml:space="preserve">see n. 62</w:t>
            </w:r>
            <w:r>
              <w:rPr>
                <w:sz w:val="20"/>
                <w:vertAlign w:val="superscript"/>
              </w:rPr>
              <w:t xml:space="preserve">,</w:t>
            </w:r>
            <w:r>
              <w:rPr>
                <w:sz w:val="20"/>
                <w:vertAlign w:val="superscript"/>
              </w:rPr>
              <w:t xml:space="preserve">see n. 60</w:t>
            </w:r>
          </w:p>
        </w:tc>
      </w:tr>
      <w:tr>
        <w:trPr>
          <w:cantSplit/>
        </w:trPr>
        <w:tc>
          <w:tcPr>
            <w:tcW w:type="pct" w:w="1071"/>
          </w:tcPr>
          <w:p>
            <w:pPr>
              <w:pStyle w:val="Compact"/>
              <w:jc w:val="left"/>
            </w:pPr>
            <w:r>
              <w:rPr>
                <w:sz w:val="20"/>
              </w:rPr>
              <w:t xml:space="preserve">NSA bulk collection</w:t>
            </w:r>
          </w:p>
        </w:tc>
        <w:tc>
          <w:tcPr>
            <w:tcW w:type="pct" w:w="1071"/>
          </w:tcPr>
          <w:p>
            <w:pPr>
              <w:pStyle w:val="Compact"/>
              <w:jc w:val="left"/>
            </w:pPr>
            <w:r>
              <w:rPr>
                <w:sz w:val="20"/>
              </w:rPr>
              <w:t xml:space="preserve">Executive self-definition</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In 2001–07 briefing access required White House approval; from 2006 the government’s classified applications, approved by court orders, supplied the statute’s operative meaning until the August 2013 opinion and the later appellate rulings.</w:t>
            </w:r>
            <w:r>
              <w:rPr>
                <w:sz w:val="20"/>
                <w:vertAlign w:val="superscript"/>
              </w:rPr>
              <w:t xml:space="preserve">see n. 61</w:t>
            </w:r>
            <w:r>
              <w:rPr>
                <w:sz w:val="20"/>
                <w:vertAlign w:val="superscript"/>
              </w:rPr>
              <w:t xml:space="preserve">,</w:t>
            </w:r>
            <w:r>
              <w:rPr>
                <w:sz w:val="20"/>
                <w:vertAlign w:val="superscript"/>
              </w:rPr>
              <w:t xml:space="preserve">see n. 60</w:t>
            </w:r>
          </w:p>
        </w:tc>
      </w:tr>
      <w:tr>
        <w:trPr>
          <w:cantSplit/>
        </w:trPr>
        <w:tc>
          <w:tcPr>
            <w:tcW w:type="pct" w:w="1071"/>
          </w:tcPr>
          <w:p>
            <w:pPr>
              <w:pStyle w:val="Compact"/>
              <w:jc w:val="left"/>
            </w:pPr>
            <w:r>
              <w:rPr>
                <w:sz w:val="20"/>
              </w:rPr>
              <w:t xml:space="preserve">NSA bulk collection</w:t>
            </w:r>
          </w:p>
        </w:tc>
        <w:tc>
          <w:tcPr>
            <w:tcW w:type="pct" w:w="1071"/>
          </w:tcPr>
          <w:p>
            <w:pPr>
              <w:pStyle w:val="Compact"/>
              <w:jc w:val="left"/>
            </w:pPr>
            <w:r>
              <w:rPr>
                <w:sz w:val="20"/>
              </w:rPr>
              <w:t xml:space="preserve">Majority declines an available remedy</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Remedies considered: legislation and the S. Res. 400 disclosure procedure, which was not used. In 2008 Congress barred civil suits against assisting providers;</w:t>
            </w:r>
            <w:r>
              <w:rPr>
                <w:sz w:val="20"/>
                <w:vertAlign w:val="superscript"/>
              </w:rPr>
              <w:t xml:space="preserve">see n. 59</w:t>
            </w:r>
            <w:r>
              <w:rPr>
                <w:sz w:val="20"/>
              </w:rPr>
              <w:t xml:space="preserve"> </w:t>
            </w:r>
            <w:r>
              <w:rPr>
                <w:sz w:val="20"/>
              </w:rPr>
              <w:t xml:space="preserve">it extended Section 215 in 2010 and 2011 while four committees held the orders and a classified summary had been offered to all members (in 2011 the House committee did not circulate it); after the 2013 disclosures it enacted the USA FREEDOM Act. Hayden’s recollection that</w:t>
            </w:r>
            <w:r>
              <w:rPr>
                <w:sz w:val="20"/>
              </w:rPr>
              <w:t xml:space="preserve"> </w:t>
            </w:r>
            <w:r>
              <w:rPr>
                <w:iCs/>
                <w:i/>
                <w:sz w:val="20"/>
              </w:rPr>
              <w:t xml:space="preserve">“</w:t>
            </w:r>
            <w:r>
              <w:rPr>
                <w:iCs/>
                <w:i/>
                <w:sz w:val="20"/>
              </w:rPr>
              <w:t xml:space="preserve">no one ever said that NSA should stop what it was doing</w:t>
            </w:r>
            <w:r>
              <w:rPr>
                <w:iCs/>
                <w:i/>
                <w:sz w:val="20"/>
              </w:rPr>
              <w:t xml:space="preserve">”</w:t>
            </w:r>
            <w:r>
              <w:rPr>
                <w:sz w:val="20"/>
              </w:rPr>
              <w:t xml:space="preserve"> </w:t>
            </w:r>
            <w:r>
              <w:rPr>
                <w:sz w:val="20"/>
              </w:rPr>
              <w:t xml:space="preserve">concerns the 2001–07 briefings and is his inference, not proof of consent.</w:t>
            </w:r>
            <w:r>
              <w:rPr>
                <w:sz w:val="20"/>
                <w:vertAlign w:val="superscript"/>
              </w:rPr>
              <w:t xml:space="preserve">see n. 60</w:t>
            </w:r>
            <w:r>
              <w:rPr>
                <w:sz w:val="20"/>
                <w:vertAlign w:val="superscript"/>
              </w:rPr>
              <w:t xml:space="preserve">,</w:t>
            </w:r>
            <w:r>
              <w:rPr>
                <w:sz w:val="20"/>
                <w:vertAlign w:val="superscript"/>
              </w:rPr>
              <w:t xml:space="preserve">see n. 61</w:t>
            </w:r>
          </w:p>
        </w:tc>
      </w:tr>
      <w:tr>
        <w:trPr>
          <w:cantSplit/>
        </w:trPr>
        <w:tc>
          <w:tcPr>
            <w:tcW w:type="pct" w:w="1071"/>
          </w:tcPr>
          <w:p>
            <w:pPr>
              <w:pStyle w:val="Compact"/>
              <w:jc w:val="left"/>
            </w:pPr>
            <w:r>
              <w:rPr>
                <w:sz w:val="20"/>
              </w:rPr>
              <w:t xml:space="preserve">NSA bulk collection</w:t>
            </w:r>
          </w:p>
        </w:tc>
        <w:tc>
          <w:tcPr>
            <w:tcW w:type="pct" w:w="1071"/>
          </w:tcPr>
          <w:p>
            <w:pPr>
              <w:pStyle w:val="Compact"/>
              <w:jc w:val="left"/>
            </w:pPr>
            <w:r>
              <w:rPr>
                <w:sz w:val="20"/>
              </w:rPr>
              <w:t xml:space="preserve">Remedy attempted and defeated outside Congress</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Initiator/request: Sensenbrenner sought action on Clapper’s testimony. Decision-maker: the Attorney General. Requested result: investigation and prosecution if warranted. Observed disposition: Holder acknowledged the letter and review of member-supplied material on April 8, 2014, but did not confirm an investigation. The record establishes a request, not its disposition or partial success; no charge is established.</w:t>
            </w:r>
            <w:r>
              <w:rPr>
                <w:sz w:val="20"/>
                <w:vertAlign w:val="superscript"/>
              </w:rPr>
              <w:t xml:space="preserve">see n. 64</w:t>
            </w:r>
            <w:r>
              <w:rPr>
                <w:sz w:val="20"/>
              </w:rPr>
              <w:t xml:space="preserve"> </w:t>
            </w:r>
            <w:r>
              <w:rPr>
                <w:sz w:val="20"/>
              </w:rPr>
              <w:t xml:space="preserve">Private plaintiffs’ litigation is outside this row.</w:t>
            </w:r>
            <w:r>
              <w:rPr>
                <w:sz w:val="20"/>
                <w:vertAlign w:val="superscript"/>
              </w:rPr>
              <w:t xml:space="preserve">see n. 65</w:t>
            </w:r>
          </w:p>
        </w:tc>
      </w:tr>
      <w:tr>
        <w:trPr>
          <w:cantSplit/>
        </w:trPr>
        <w:tc>
          <w:tcPr>
            <w:tcW w:type="pct" w:w="1071"/>
          </w:tcPr>
          <w:p>
            <w:pPr>
              <w:pStyle w:val="Compact"/>
              <w:jc w:val="left"/>
            </w:pPr>
            <w:r>
              <w:rPr>
                <w:sz w:val="20"/>
              </w:rPr>
              <w:t xml:space="preserve">NSA bulk collection</w:t>
            </w:r>
          </w:p>
        </w:tc>
        <w:tc>
          <w:tcPr>
            <w:tcW w:type="pct" w:w="1071"/>
          </w:tcPr>
          <w:p>
            <w:pPr>
              <w:pStyle w:val="Compact"/>
              <w:jc w:val="left"/>
            </w:pPr>
            <w:r>
              <w:rPr>
                <w:sz w:val="20"/>
              </w:rPr>
              <w:t xml:space="preserve">Informal negotiation</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Terms of access were set by the executive and the court more than bargained; the Wyden-Udall letters are the trace of constrained bargaining.</w:t>
            </w:r>
            <w:r>
              <w:rPr>
                <w:sz w:val="20"/>
                <w:vertAlign w:val="superscript"/>
              </w:rPr>
              <w:t xml:space="preserve">see n. 62</w:t>
            </w:r>
          </w:p>
        </w:tc>
      </w:tr>
      <w:tr>
        <w:trPr>
          <w:cantSplit/>
        </w:trPr>
        <w:tc>
          <w:tcPr>
            <w:tcW w:type="pct" w:w="1071"/>
          </w:tcPr>
          <w:p>
            <w:pPr>
              <w:pStyle w:val="Compact"/>
              <w:jc w:val="left"/>
            </w:pPr>
            <w:r>
              <w:rPr>
                <w:sz w:val="20"/>
              </w:rPr>
              <w:t xml:space="preserve">NSA bulk collection</w:t>
            </w:r>
          </w:p>
        </w:tc>
        <w:tc>
          <w:tcPr>
            <w:tcW w:type="pct" w:w="1071"/>
          </w:tcPr>
          <w:p>
            <w:pPr>
              <w:pStyle w:val="Compact"/>
              <w:jc w:val="left"/>
            </w:pPr>
            <w:r>
              <w:rPr>
                <w:sz w:val="20"/>
              </w:rPr>
              <w:t xml:space="preserve">Limited individual accountability</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Holder acknowledged Sensenbrenner’s letter and member-supplied material on April 8, 2014. That is a request for action, not proof of a formal committee referral or a confirmed investigation. No charge is established in the reviewed record.</w:t>
            </w:r>
            <w:r>
              <w:rPr>
                <w:sz w:val="20"/>
                <w:vertAlign w:val="superscript"/>
              </w:rPr>
              <w:t xml:space="preserve">see n. 64</w:t>
            </w:r>
          </w:p>
        </w:tc>
      </w:tr>
      <w:tr>
        <w:trPr>
          <w:cantSplit/>
        </w:trPr>
        <w:tc>
          <w:tcPr>
            <w:tcW w:type="pct" w:w="1071"/>
          </w:tcPr>
          <w:p>
            <w:pPr>
              <w:pStyle w:val="Compact"/>
              <w:jc w:val="left"/>
            </w:pPr>
            <w:r>
              <w:rPr>
                <w:sz w:val="20"/>
              </w:rPr>
              <w:t xml:space="preserve">CIA Interrogation Program</w:t>
            </w:r>
          </w:p>
        </w:tc>
        <w:tc>
          <w:tcPr>
            <w:tcW w:type="pct" w:w="1071"/>
          </w:tcPr>
          <w:p>
            <w:pPr>
              <w:pStyle w:val="Compact"/>
              <w:jc w:val="left"/>
            </w:pPr>
            <w:r>
              <w:rPr>
                <w:sz w:val="20"/>
              </w:rPr>
              <w:t xml:space="preserve">Exogenous rupture</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The December 2007</w:t>
            </w:r>
            <w:r>
              <w:rPr>
                <w:sz w:val="20"/>
              </w:rPr>
              <w:t xml:space="preserve"> </w:t>
            </w:r>
            <w:r>
              <w:rPr>
                <w:iCs/>
                <w:i/>
                <w:sz w:val="20"/>
              </w:rPr>
              <w:t xml:space="preserve">New York Times</w:t>
            </w:r>
            <w:r>
              <w:rPr>
                <w:sz w:val="20"/>
              </w:rPr>
              <w:t xml:space="preserve"> </w:t>
            </w:r>
            <w:r>
              <w:rPr>
                <w:sz w:val="20"/>
              </w:rPr>
              <w:t xml:space="preserve">report of the destroyed interrogation videotapes preceded the committee’s review, which began on December 11, 2007 after the CIA Director briefed it that day; the ninety-two-tape count surfaced in March 2009 litigation.</w:t>
            </w:r>
            <w:r>
              <w:rPr>
                <w:sz w:val="20"/>
                <w:vertAlign w:val="superscript"/>
              </w:rPr>
              <w:t xml:space="preserve">see n. 66</w:t>
            </w:r>
            <w:r>
              <w:rPr>
                <w:sz w:val="20"/>
                <w:vertAlign w:val="superscript"/>
              </w:rPr>
              <w:t xml:space="preserve">,</w:t>
            </w:r>
            <w:r>
              <w:rPr>
                <w:sz w:val="20"/>
                <w:vertAlign w:val="superscript"/>
              </w:rPr>
              <w:t xml:space="preserve">see n. 32</w:t>
            </w:r>
            <w:r>
              <w:rPr>
                <w:sz w:val="20"/>
              </w:rPr>
              <w:t xml:space="preserve"> </w:t>
            </w:r>
            <w:r>
              <w:rPr>
                <w:sz w:val="20"/>
              </w:rPr>
              <w:t xml:space="preserve">Committee access had widened only on September 6, 2006, the day the President publicly acknowledged the program, by which time 117 of the 119 known detainees had entered CIA custody: an executive choice, not a congressional discovery.</w:t>
            </w:r>
            <w:r>
              <w:rPr>
                <w:sz w:val="20"/>
                <w:vertAlign w:val="superscript"/>
              </w:rPr>
              <w:t xml:space="preserve">see n. 32</w:t>
            </w:r>
          </w:p>
        </w:tc>
      </w:tr>
      <w:tr>
        <w:trPr>
          <w:cantSplit/>
        </w:trPr>
        <w:tc>
          <w:tcPr>
            <w:tcW w:type="pct" w:w="1071"/>
          </w:tcPr>
          <w:p>
            <w:pPr>
              <w:pStyle w:val="Compact"/>
              <w:jc w:val="left"/>
            </w:pPr>
            <w:r>
              <w:rPr>
                <w:sz w:val="20"/>
              </w:rPr>
              <w:t xml:space="preserve">CIA Interrogation Program</w:t>
            </w:r>
          </w:p>
        </w:tc>
        <w:tc>
          <w:tcPr>
            <w:tcW w:type="pct" w:w="1071"/>
          </w:tcPr>
          <w:p>
            <w:pPr>
              <w:pStyle w:val="Compact"/>
              <w:jc w:val="left"/>
            </w:pPr>
            <w:r>
              <w:rPr>
                <w:sz w:val="20"/>
              </w:rPr>
              <w:t xml:space="preserve">Demand posture</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The SSCI authorized a study based on more than six million pages of CIA records (March 5, 2009), a strong demand that nonetheless ran through negotiated declassification of the CIA’s own record rather than compelled public release.</w:t>
            </w:r>
            <w:r>
              <w:rPr>
                <w:sz w:val="20"/>
                <w:vertAlign w:val="superscript"/>
              </w:rPr>
              <w:t xml:space="preserve">see n. 32</w:t>
            </w:r>
          </w:p>
        </w:tc>
      </w:tr>
      <w:tr>
        <w:trPr>
          <w:cantSplit/>
        </w:trPr>
        <w:tc>
          <w:tcPr>
            <w:tcW w:type="pct" w:w="1071"/>
          </w:tcPr>
          <w:p>
            <w:pPr>
              <w:pStyle w:val="Compact"/>
              <w:jc w:val="left"/>
            </w:pPr>
            <w:r>
              <w:rPr>
                <w:sz w:val="20"/>
              </w:rPr>
              <w:t xml:space="preserve">CIA Interrogation Program</w:t>
            </w:r>
          </w:p>
        </w:tc>
        <w:tc>
          <w:tcPr>
            <w:tcW w:type="pct" w:w="1071"/>
          </w:tcPr>
          <w:p>
            <w:pPr>
              <w:pStyle w:val="Compact"/>
              <w:jc w:val="left"/>
            </w:pPr>
            <w:r>
              <w:rPr>
                <w:sz w:val="20"/>
              </w:rPr>
              <w:t xml:space="preserve">Selective disclosure</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Until September 6, 2006 the CIA restricted information to the committee’s chairman and vice chairman; the White House withheld approximately 9,400 documents pending a determination on executive privilege; and only the Executive Summary (499 pages, released with the Findings and Conclusions as a 525-page document) was made public, on December 9, 2014, while the full report, more than 6,700 pages, stayed classified.</w:t>
            </w:r>
            <w:r>
              <w:rPr>
                <w:sz w:val="20"/>
                <w:vertAlign w:val="superscript"/>
              </w:rPr>
              <w:t xml:space="preserve">see n. 32</w:t>
            </w:r>
          </w:p>
        </w:tc>
      </w:tr>
      <w:tr>
        <w:trPr>
          <w:cantSplit/>
        </w:trPr>
        <w:tc>
          <w:tcPr>
            <w:tcW w:type="pct" w:w="1071"/>
          </w:tcPr>
          <w:p>
            <w:pPr>
              <w:pStyle w:val="Compact"/>
              <w:jc w:val="left"/>
            </w:pPr>
            <w:r>
              <w:rPr>
                <w:sz w:val="20"/>
              </w:rPr>
              <w:t xml:space="preserve">CIA Interrogation Program</w:t>
            </w:r>
          </w:p>
        </w:tc>
        <w:tc>
          <w:tcPr>
            <w:tcW w:type="pct" w:w="1071"/>
          </w:tcPr>
          <w:p>
            <w:pPr>
              <w:pStyle w:val="Compact"/>
              <w:jc w:val="left"/>
            </w:pPr>
            <w:r>
              <w:rPr>
                <w:sz w:val="20"/>
              </w:rPr>
              <w:t xml:space="preserve">Justification proliferation</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The evidence concerns interrogation authority more than withholding. The Office of Legal Counsel’s January 15, 2009 memorandum for the files stated that the earlier opinions’ categorical claim, that the Commander in Chief power precludes Congress from legislating on detention and interrogation, was not sustainable, while reserving as-applied constitutional objections.</w:t>
            </w:r>
            <w:r>
              <w:rPr>
                <w:sz w:val="20"/>
                <w:vertAlign w:val="superscript"/>
              </w:rPr>
              <w:t xml:space="preserve">see n. 70</w:t>
            </w:r>
            <w:r>
              <w:rPr>
                <w:sz w:val="20"/>
              </w:rPr>
              <w:t xml:space="preserve"> </w:t>
            </w:r>
            <w:r>
              <w:rPr>
                <w:sz w:val="20"/>
              </w:rPr>
              <w:t xml:space="preserve">The withholding grounds were classification and a pending executive-privilege determination.</w:t>
            </w:r>
            <w:r>
              <w:rPr>
                <w:sz w:val="20"/>
                <w:vertAlign w:val="superscript"/>
              </w:rPr>
              <w:t xml:space="preserve">see n. 32</w:t>
            </w:r>
          </w:p>
        </w:tc>
      </w:tr>
      <w:tr>
        <w:trPr>
          <w:cantSplit/>
        </w:trPr>
        <w:tc>
          <w:tcPr>
            <w:tcW w:type="pct" w:w="1071"/>
          </w:tcPr>
          <w:p>
            <w:pPr>
              <w:pStyle w:val="Compact"/>
              <w:jc w:val="left"/>
            </w:pPr>
            <w:r>
              <w:rPr>
                <w:sz w:val="20"/>
              </w:rPr>
              <w:t xml:space="preserve">CIA Interrogation Program</w:t>
            </w:r>
          </w:p>
        </w:tc>
        <w:tc>
          <w:tcPr>
            <w:tcW w:type="pct" w:w="1071"/>
          </w:tcPr>
          <w:p>
            <w:pPr>
              <w:pStyle w:val="Compact"/>
              <w:jc w:val="left"/>
            </w:pPr>
            <w:r>
              <w:rPr>
                <w:sz w:val="20"/>
              </w:rPr>
              <w:t xml:space="preserve">Delayed compliance</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The committee approved the study in December 2012; the executive’s declassification review then ran until the December 2014 release of the Executive Summary, and the full report was not released. The study period itself (March 2009 to December 2012) is the committee’s time, not executive delay.</w:t>
            </w:r>
            <w:r>
              <w:rPr>
                <w:sz w:val="20"/>
                <w:vertAlign w:val="superscript"/>
              </w:rPr>
              <w:t xml:space="preserve">see n. 32</w:t>
            </w:r>
          </w:p>
        </w:tc>
      </w:tr>
      <w:tr>
        <w:trPr>
          <w:cantSplit/>
        </w:trPr>
        <w:tc>
          <w:tcPr>
            <w:tcW w:type="pct" w:w="1071"/>
          </w:tcPr>
          <w:p>
            <w:pPr>
              <w:pStyle w:val="Compact"/>
              <w:jc w:val="left"/>
            </w:pPr>
            <w:r>
              <w:rPr>
                <w:sz w:val="20"/>
              </w:rPr>
              <w:t xml:space="preserve">CIA Interrogation Program</w:t>
            </w:r>
          </w:p>
        </w:tc>
        <w:tc>
          <w:tcPr>
            <w:tcW w:type="pct" w:w="1071"/>
          </w:tcPr>
          <w:p>
            <w:pPr>
              <w:pStyle w:val="Compact"/>
              <w:jc w:val="left"/>
            </w:pPr>
            <w:r>
              <w:rPr>
                <w:sz w:val="20"/>
              </w:rPr>
              <w:t xml:space="preserve">Executive self-definition</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The White House withheld approximately 9,400 CIA documents pending an executive-privilege determination and did not answer the committee’s three written requests of 2013, and the CIA disputed the committee’s findings in its June 2013 response.</w:t>
            </w:r>
            <w:r>
              <w:rPr>
                <w:sz w:val="20"/>
                <w:vertAlign w:val="superscript"/>
              </w:rPr>
              <w:t xml:space="preserve">see n. 32</w:t>
            </w:r>
            <w:r>
              <w:rPr>
                <w:sz w:val="20"/>
                <w:vertAlign w:val="superscript"/>
              </w:rPr>
              <w:t xml:space="preserve">,</w:t>
            </w:r>
            <w:r>
              <w:rPr>
                <w:sz w:val="20"/>
                <w:vertAlign w:val="superscript"/>
              </w:rPr>
              <w:t xml:space="preserve">see n. 67</w:t>
            </w:r>
          </w:p>
        </w:tc>
      </w:tr>
      <w:tr>
        <w:trPr>
          <w:cantSplit/>
        </w:trPr>
        <w:tc>
          <w:tcPr>
            <w:tcW w:type="pct" w:w="1071"/>
          </w:tcPr>
          <w:p>
            <w:pPr>
              <w:pStyle w:val="Compact"/>
              <w:jc w:val="left"/>
            </w:pPr>
            <w:r>
              <w:rPr>
                <w:sz w:val="20"/>
              </w:rPr>
              <w:t xml:space="preserve">CIA Interrogation Program</w:t>
            </w:r>
          </w:p>
        </w:tc>
        <w:tc>
          <w:tcPr>
            <w:tcW w:type="pct" w:w="1071"/>
          </w:tcPr>
          <w:p>
            <w:pPr>
              <w:pStyle w:val="Compact"/>
              <w:jc w:val="left"/>
            </w:pPr>
            <w:r>
              <w:rPr>
                <w:sz w:val="20"/>
              </w:rPr>
              <w:t xml:space="preserve">Majority declines an available remedy</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Remedies considered: a study, declassification, release of the full report, and legislation. The committee approved the study 9–6 and voted to send the Executive Summary to the President for declassification; it did not release the full report, which the D.C. Circuit held in 2016, as a sequel, to be a congressional record under the committee’s control. Congress legislated in 2005 and, as a sequel, in 2015.</w:t>
            </w:r>
            <w:r>
              <w:rPr>
                <w:sz w:val="20"/>
                <w:vertAlign w:val="superscript"/>
              </w:rPr>
              <w:t xml:space="preserve">see n. 32</w:t>
            </w:r>
            <w:r>
              <w:rPr>
                <w:sz w:val="20"/>
                <w:vertAlign w:val="superscript"/>
              </w:rPr>
              <w:t xml:space="preserve">,</w:t>
            </w:r>
            <w:r>
              <w:rPr>
                <w:sz w:val="20"/>
                <w:vertAlign w:val="superscript"/>
              </w:rPr>
              <w:t xml:space="preserve">see n. 70</w:t>
            </w:r>
            <w:r>
              <w:rPr>
                <w:sz w:val="20"/>
                <w:vertAlign w:val="superscript"/>
              </w:rPr>
              <w:t xml:space="preserve">,</w:t>
            </w:r>
            <w:r>
              <w:rPr>
                <w:sz w:val="20"/>
                <w:vertAlign w:val="superscript"/>
              </w:rPr>
              <w:t xml:space="preserve">see n. 68</w:t>
            </w:r>
          </w:p>
        </w:tc>
      </w:tr>
      <w:tr>
        <w:trPr>
          <w:cantSplit/>
        </w:trPr>
        <w:tc>
          <w:tcPr>
            <w:tcW w:type="pct" w:w="1071"/>
          </w:tcPr>
          <w:p>
            <w:pPr>
              <w:pStyle w:val="Compact"/>
              <w:jc w:val="left"/>
            </w:pPr>
            <w:r>
              <w:rPr>
                <w:sz w:val="20"/>
              </w:rPr>
              <w:t xml:space="preserve">CIA Interrogation Program</w:t>
            </w:r>
          </w:p>
        </w:tc>
        <w:tc>
          <w:tcPr>
            <w:tcW w:type="pct" w:w="1071"/>
          </w:tcPr>
          <w:p>
            <w:pPr>
              <w:pStyle w:val="Compact"/>
              <w:jc w:val="left"/>
            </w:pPr>
            <w:r>
              <w:rPr>
                <w:sz w:val="20"/>
              </w:rPr>
              <w:t xml:space="preserve">Remedy attempted and defeated outside Congress</w:t>
            </w:r>
          </w:p>
        </w:tc>
        <w:tc>
          <w:tcPr>
            <w:tcW w:type="pct" w:w="1786"/>
          </w:tcPr>
          <w:p>
            <w:pPr>
              <w:pStyle w:val="Compact"/>
              <w:jc w:val="center"/>
            </w:pPr>
            <w:r>
              <w:rPr>
                <w:sz w:val="20"/>
              </w:rPr>
              <w:t xml:space="preserve">n/a</w:t>
            </w:r>
          </w:p>
        </w:tc>
        <w:tc>
          <w:tcPr>
            <w:tcW w:type="pct" w:w="1072"/>
          </w:tcPr>
          <w:p>
            <w:pPr>
              <w:pStyle w:val="Compact"/>
              <w:jc w:val="left"/>
            </w:pPr>
            <w:r>
              <w:rPr>
                <w:sz w:val="20"/>
              </w:rPr>
              <w:t xml:space="preserve">Initiator/request: the CIA Inspector General referred possible misconduct by CIA personnel, and the acting general counsel filed a crimes report concerning committee staff. Decision-maker: DOJ. Requested result: criminal investigation. Observed disposition: no charges; DOJ reported insufficient evidence to warrant a criminal investigation. Both referrals were executive-origin; no congressional invocation is documented in this evidence. They remain counter-pressure and accountability evidence in the following rows.</w:t>
            </w:r>
            <w:r>
              <w:rPr>
                <w:sz w:val="20"/>
                <w:vertAlign w:val="superscript"/>
              </w:rPr>
              <w:t xml:space="preserve">see n. 67</w:t>
            </w:r>
          </w:p>
        </w:tc>
      </w:tr>
      <w:tr>
        <w:trPr>
          <w:cantSplit/>
        </w:trPr>
        <w:tc>
          <w:tcPr>
            <w:tcW w:type="pct" w:w="1071"/>
          </w:tcPr>
          <w:p>
            <w:pPr>
              <w:pStyle w:val="Compact"/>
              <w:jc w:val="left"/>
            </w:pPr>
            <w:r>
              <w:rPr>
                <w:sz w:val="20"/>
              </w:rPr>
              <w:t xml:space="preserve">CIA Interrogation Program</w:t>
            </w:r>
          </w:p>
        </w:tc>
        <w:tc>
          <w:tcPr>
            <w:tcW w:type="pct" w:w="1071"/>
          </w:tcPr>
          <w:p>
            <w:pPr>
              <w:pStyle w:val="Compact"/>
              <w:jc w:val="left"/>
            </w:pPr>
            <w:r>
              <w:rPr>
                <w:sz w:val="20"/>
              </w:rPr>
              <w:t xml:space="preserve">Informal negotiation</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The release proceeded through negotiation amid CIA counter-pressure (the staff-computer searches, the criminal referral, and declassification fights).</w:t>
            </w:r>
            <w:r>
              <w:rPr>
                <w:sz w:val="20"/>
                <w:vertAlign w:val="superscript"/>
              </w:rPr>
              <w:t xml:space="preserve">see n. 67</w:t>
            </w:r>
          </w:p>
        </w:tc>
      </w:tr>
      <w:tr>
        <w:trPr>
          <w:cantSplit/>
        </w:trPr>
        <w:tc>
          <w:tcPr>
            <w:tcW w:type="pct" w:w="1071"/>
          </w:tcPr>
          <w:p>
            <w:pPr>
              <w:pStyle w:val="Compact"/>
              <w:jc w:val="left"/>
            </w:pPr>
            <w:r>
              <w:rPr>
                <w:sz w:val="20"/>
              </w:rPr>
              <w:t xml:space="preserve">CIA Interrogation Program</w:t>
            </w:r>
          </w:p>
        </w:tc>
        <w:tc>
          <w:tcPr>
            <w:tcW w:type="pct" w:w="1071"/>
          </w:tcPr>
          <w:p>
            <w:pPr>
              <w:pStyle w:val="Compact"/>
              <w:jc w:val="left"/>
            </w:pPr>
            <w:r>
              <w:rPr>
                <w:sz w:val="20"/>
              </w:rPr>
              <w:t xml:space="preserve">Limited individual accountability</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Accountability was declined. No senior official was prosecuted; the Durham review closed with no charges; Margolis declined to adopt the Office of Professional Responsibility’s misconduct findings against Yoo and Bybee, and no discipline followed; the CIA Inspector General referred possible CIA personnel misconduct, and the acting general counsel filed a crimes report against committee staff; both referrals ended without charges.</w:t>
            </w:r>
            <w:r>
              <w:rPr>
                <w:sz w:val="20"/>
                <w:vertAlign w:val="superscript"/>
              </w:rPr>
              <w:t xml:space="preserve">see n. 67</w:t>
            </w:r>
            <w:r>
              <w:rPr>
                <w:sz w:val="20"/>
                <w:vertAlign w:val="superscript"/>
              </w:rPr>
              <w:t xml:space="preserve">,</w:t>
            </w:r>
            <w:r>
              <w:rPr>
                <w:sz w:val="20"/>
                <w:vertAlign w:val="superscript"/>
              </w:rPr>
              <w:t xml:space="preserve">see n. 70</w:t>
            </w:r>
            <w:r>
              <w:rPr>
                <w:sz w:val="20"/>
              </w:rPr>
              <w:t xml:space="preserve"> </w:t>
            </w:r>
            <w:r>
              <w:rPr>
                <w:sz w:val="20"/>
              </w:rPr>
              <w:t xml:space="preserve">The Detainee Treatment Act of 2005 gave personnel who relied on authorized practices a defense, and the Military Commissions Act of 2006 redefined the war-crimes offense with effect from November 26, 1997.</w:t>
            </w:r>
            <w:r>
              <w:rPr>
                <w:sz w:val="20"/>
                <w:vertAlign w:val="superscript"/>
              </w:rPr>
              <w:t xml:space="preserve">see n. 68</w:t>
            </w:r>
          </w:p>
        </w:tc>
      </w:tr>
      <w:tr>
        <w:trPr>
          <w:cantSplit/>
        </w:trPr>
        <w:tc>
          <w:tcPr>
            <w:tcW w:type="pct" w:w="1071"/>
          </w:tcPr>
          <w:p>
            <w:pPr>
              <w:pStyle w:val="Compact"/>
              <w:jc w:val="left"/>
            </w:pPr>
            <w:r>
              <w:rPr>
                <w:sz w:val="20"/>
              </w:rPr>
              <w:t xml:space="preserve">Watergate tapes (contrast)</w:t>
            </w:r>
          </w:p>
        </w:tc>
        <w:tc>
          <w:tcPr>
            <w:tcW w:type="pct" w:w="1071"/>
          </w:tcPr>
          <w:p>
            <w:pPr>
              <w:pStyle w:val="Compact"/>
              <w:jc w:val="left"/>
            </w:pPr>
            <w:r>
              <w:rPr>
                <w:sz w:val="20"/>
              </w:rPr>
              <w:t xml:space="preserve">Exogenous rupture</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The conduct first came to light outside Congress, when police arrested five men inside the Democratic National Committee offices on June 17, 1972. But the existence of the tapes, the records in dispute, was disclosed by the Senate committee’s own questioning of Alexander Butterfield on July 16, 1973.</w:t>
            </w:r>
            <w:r>
              <w:rPr>
                <w:sz w:val="20"/>
                <w:vertAlign w:val="superscript"/>
              </w:rPr>
              <w:t xml:space="preserve">see n. 33</w:t>
            </w:r>
          </w:p>
        </w:tc>
      </w:tr>
      <w:tr>
        <w:trPr>
          <w:cantSplit/>
        </w:trPr>
        <w:tc>
          <w:tcPr>
            <w:tcW w:type="pct" w:w="1071"/>
          </w:tcPr>
          <w:p>
            <w:pPr>
              <w:pStyle w:val="Compact"/>
              <w:jc w:val="left"/>
            </w:pPr>
            <w:r>
              <w:rPr>
                <w:sz w:val="20"/>
              </w:rPr>
              <w:t xml:space="preserve">Watergate tapes (contrast)</w:t>
            </w:r>
          </w:p>
        </w:tc>
        <w:tc>
          <w:tcPr>
            <w:tcW w:type="pct" w:w="1071"/>
          </w:tcPr>
          <w:p>
            <w:pPr>
              <w:pStyle w:val="Compact"/>
              <w:jc w:val="left"/>
            </w:pPr>
            <w:r>
              <w:rPr>
                <w:sz w:val="20"/>
              </w:rPr>
              <w:t xml:space="preserve">Demand posture</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After informal requests failed the committee issued two subpoenas in July 1973, the demand on which this column is scored. The Special Prosecutor’s trial subpoena under Rule 17(c), of April 18, 1974, is recorded in the outcome rows.</w:t>
            </w:r>
            <w:r>
              <w:rPr>
                <w:sz w:val="20"/>
                <w:vertAlign w:val="superscript"/>
              </w:rPr>
              <w:t xml:space="preserve">see n. 33</w:t>
            </w:r>
          </w:p>
        </w:tc>
      </w:tr>
      <w:tr>
        <w:trPr>
          <w:cantSplit/>
        </w:trPr>
        <w:tc>
          <w:tcPr>
            <w:tcW w:type="pct" w:w="1071"/>
          </w:tcPr>
          <w:p>
            <w:pPr>
              <w:pStyle w:val="Compact"/>
              <w:jc w:val="left"/>
            </w:pPr>
            <w:r>
              <w:rPr>
                <w:sz w:val="20"/>
              </w:rPr>
              <w:t xml:space="preserve">Watergate tapes (contrast)</w:t>
            </w:r>
          </w:p>
        </w:tc>
        <w:tc>
          <w:tcPr>
            <w:tcW w:type="pct" w:w="1071"/>
          </w:tcPr>
          <w:p>
            <w:pPr>
              <w:pStyle w:val="Compact"/>
              <w:jc w:val="left"/>
            </w:pPr>
            <w:r>
              <w:rPr>
                <w:sz w:val="20"/>
              </w:rPr>
              <w:t xml:space="preserve">Selective disclosure</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The President declined both committee subpoenas on July 25, 1973. On April 30, 1974, answering the House Judiciary Committee’s subpoena, he released edited transcripts in place of the tapes; they were sent to that committee and published, not produced to the Senate committee, and they covered, with partial deletions, each of the five conversations it had subpoenaed, as the D.C. Circuit took judicial notice.</w:t>
            </w:r>
            <w:r>
              <w:rPr>
                <w:sz w:val="20"/>
                <w:vertAlign w:val="superscript"/>
              </w:rPr>
              <w:t xml:space="preserve">see n. 33</w:t>
            </w:r>
            <w:r>
              <w:rPr>
                <w:sz w:val="20"/>
                <w:vertAlign w:val="superscript"/>
              </w:rPr>
              <w:t xml:space="preserve">,</w:t>
            </w:r>
            <w:r>
              <w:rPr>
                <w:sz w:val="20"/>
                <w:vertAlign w:val="superscript"/>
              </w:rPr>
              <w:t xml:space="preserve">see n. 141</w:t>
            </w:r>
          </w:p>
        </w:tc>
      </w:tr>
      <w:tr>
        <w:trPr>
          <w:cantSplit/>
        </w:trPr>
        <w:tc>
          <w:tcPr>
            <w:tcW w:type="pct" w:w="1071"/>
          </w:tcPr>
          <w:p>
            <w:pPr>
              <w:pStyle w:val="Compact"/>
              <w:jc w:val="left"/>
            </w:pPr>
            <w:r>
              <w:rPr>
                <w:sz w:val="20"/>
              </w:rPr>
              <w:t xml:space="preserve">Watergate tapes (contrast)</w:t>
            </w:r>
          </w:p>
        </w:tc>
        <w:tc>
          <w:tcPr>
            <w:tcW w:type="pct" w:w="1071"/>
          </w:tcPr>
          <w:p>
            <w:pPr>
              <w:pStyle w:val="Compact"/>
              <w:jc w:val="left"/>
            </w:pPr>
            <w:r>
              <w:rPr>
                <w:sz w:val="20"/>
              </w:rPr>
              <w:t xml:space="preserve">Justification proliferation</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One ground was asserted, a generalized executive privilege claimed to be absolute; the Supreme Court rejected its absoluteness.</w:t>
            </w:r>
            <w:r>
              <w:rPr>
                <w:sz w:val="20"/>
                <w:vertAlign w:val="superscript"/>
              </w:rPr>
              <w:t xml:space="preserve">see n. 33</w:t>
            </w:r>
          </w:p>
        </w:tc>
      </w:tr>
      <w:tr>
        <w:trPr>
          <w:cantSplit/>
        </w:trPr>
        <w:tc>
          <w:tcPr>
            <w:tcW w:type="pct" w:w="1071"/>
          </w:tcPr>
          <w:p>
            <w:pPr>
              <w:pStyle w:val="Compact"/>
              <w:jc w:val="left"/>
            </w:pPr>
            <w:r>
              <w:rPr>
                <w:sz w:val="20"/>
              </w:rPr>
              <w:t xml:space="preserve">Watergate tapes (contrast)</w:t>
            </w:r>
          </w:p>
        </w:tc>
        <w:tc>
          <w:tcPr>
            <w:tcW w:type="pct" w:w="1071"/>
          </w:tcPr>
          <w:p>
            <w:pPr>
              <w:pStyle w:val="Compact"/>
              <w:jc w:val="left"/>
            </w:pPr>
            <w:r>
              <w:rPr>
                <w:sz w:val="20"/>
              </w:rPr>
              <w:t xml:space="preserve">Delayed compliance</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The committee never received the subpoenaed tapes from the President. When the D.C. Circuit ruled on May 23, 1974, ten months after the subpoenas, it treated the committee’s need as merely cumulative because the House Judiciary Committee by then held copies. The Supreme Court’s order of July 24, 1974 ran on the Special Prosecutor’s subpoena, not the committee’s.</w:t>
            </w:r>
            <w:r>
              <w:rPr>
                <w:sz w:val="20"/>
                <w:vertAlign w:val="superscript"/>
              </w:rPr>
              <w:t xml:space="preserve">see n. 33</w:t>
            </w:r>
          </w:p>
        </w:tc>
      </w:tr>
      <w:tr>
        <w:trPr>
          <w:cantSplit/>
        </w:trPr>
        <w:tc>
          <w:tcPr>
            <w:tcW w:type="pct" w:w="1071"/>
          </w:tcPr>
          <w:p>
            <w:pPr>
              <w:pStyle w:val="Compact"/>
              <w:jc w:val="left"/>
            </w:pPr>
            <w:r>
              <w:rPr>
                <w:sz w:val="20"/>
              </w:rPr>
              <w:t xml:space="preserve">Watergate tapes (contrast)</w:t>
            </w:r>
          </w:p>
        </w:tc>
        <w:tc>
          <w:tcPr>
            <w:tcW w:type="pct" w:w="1071"/>
          </w:tcPr>
          <w:p>
            <w:pPr>
              <w:pStyle w:val="Compact"/>
              <w:jc w:val="left"/>
            </w:pPr>
            <w:r>
              <w:rPr>
                <w:sz w:val="20"/>
              </w:rPr>
              <w:t xml:space="preserve">Executive self-definition</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The President stated his own reading, that the privilege was his to define, and acted on it by refusing the committee’s subpoenas and substituting edited transcripts. The courts’ later determinations are recorded in the remedy and outcome rows: the D.C. Circuit decided the committee’s subpoena under a presumption of privilege, and the Supreme Court held, on the Special Prosecutor’s subpoena, that it is the province of the judiciary to say what the law is and that a generalized claim must yield to a demonstrated need for evidence in a pending criminal trial.</w:t>
            </w:r>
            <w:r>
              <w:rPr>
                <w:sz w:val="20"/>
                <w:vertAlign w:val="superscript"/>
              </w:rPr>
              <w:t xml:space="preserve">see n. 33</w:t>
            </w:r>
          </w:p>
        </w:tc>
      </w:tr>
      <w:tr>
        <w:trPr>
          <w:cantSplit/>
        </w:trPr>
        <w:tc>
          <w:tcPr>
            <w:tcW w:type="pct" w:w="1071"/>
          </w:tcPr>
          <w:p>
            <w:pPr>
              <w:pStyle w:val="Compact"/>
              <w:jc w:val="left"/>
            </w:pPr>
            <w:r>
              <w:rPr>
                <w:sz w:val="20"/>
              </w:rPr>
              <w:t xml:space="preserve">Watergate tapes (contrast)</w:t>
            </w:r>
          </w:p>
        </w:tc>
        <w:tc>
          <w:tcPr>
            <w:tcW w:type="pct" w:w="1071"/>
          </w:tcPr>
          <w:p>
            <w:pPr>
              <w:pStyle w:val="Compact"/>
              <w:jc w:val="left"/>
            </w:pPr>
            <w:r>
              <w:rPr>
                <w:sz w:val="20"/>
              </w:rPr>
              <w:t xml:space="preserve">Majority declines an available remedy</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On the Senate committee’s demand, the committee considered statutory contempt, the Senate’s self-help (inherent contempt), and a suit. Its report says</w:t>
            </w:r>
            <w:r>
              <w:rPr>
                <w:sz w:val="20"/>
              </w:rPr>
              <w:t xml:space="preserve"> </w:t>
            </w:r>
            <w:r>
              <w:rPr>
                <w:sz w:val="20"/>
              </w:rPr>
              <w:t xml:space="preserve">“</w:t>
            </w:r>
            <w:r>
              <w:rPr>
                <w:sz w:val="20"/>
              </w:rPr>
              <w:t xml:space="preserve">it appeared unseemly</w:t>
            </w:r>
            <w:r>
              <w:rPr>
                <w:sz w:val="20"/>
              </w:rPr>
              <w:t xml:space="preserve">”</w:t>
            </w:r>
            <w:r>
              <w:rPr>
                <w:sz w:val="20"/>
              </w:rPr>
              <w:t xml:space="preserve"> </w:t>
            </w:r>
            <w:r>
              <w:rPr>
                <w:sz w:val="20"/>
              </w:rPr>
              <w:t xml:space="preserve">to proceed against the President by statutory contempt or</w:t>
            </w:r>
            <w:r>
              <w:rPr>
                <w:sz w:val="20"/>
              </w:rPr>
              <w:t xml:space="preserve"> </w:t>
            </w:r>
            <w:r>
              <w:rPr>
                <w:sz w:val="20"/>
              </w:rPr>
              <w:t xml:space="preserve">“</w:t>
            </w:r>
            <w:r>
              <w:rPr>
                <w:sz w:val="20"/>
              </w:rPr>
              <w:t xml:space="preserve">the self-help measures at the Senate’s command</w:t>
            </w:r>
            <w:r>
              <w:rPr>
                <w:sz w:val="20"/>
              </w:rPr>
              <w:t xml:space="preserve">”</w:t>
            </w:r>
            <w:r>
              <w:rPr>
                <w:sz w:val="20"/>
              </w:rPr>
              <w:t xml:space="preserve"> </w:t>
            </w:r>
            <w:r>
              <w:rPr>
                <w:sz w:val="20"/>
              </w:rPr>
              <w:t xml:space="preserve">(S. Rep. No. 93-981, 1081–1082). These were considered alternatives whose legal availability against a sitting President was contested, so their non-use does not support a firm available-remedy mark. The committee used a suit, with a Senate authorization resolution and a special jurisdictional statute counted as parts of that route. The mark describes route choice among substitutes, not weak escalation. Impeachment remains outside this cell because the House Judiciary Committee’s third article concerned that committee’s own subpoenas.</w:t>
            </w:r>
            <w:r>
              <w:rPr>
                <w:sz w:val="20"/>
                <w:vertAlign w:val="superscript"/>
              </w:rPr>
              <w:t xml:space="preserve">see n. 33</w:t>
            </w:r>
            <w:r>
              <w:rPr>
                <w:sz w:val="20"/>
                <w:vertAlign w:val="superscript"/>
              </w:rPr>
              <w:t xml:space="preserve">,</w:t>
            </w:r>
            <w:r>
              <w:rPr>
                <w:sz w:val="20"/>
                <w:vertAlign w:val="superscript"/>
              </w:rPr>
              <w:t xml:space="preserve">see n. 141</w:t>
            </w:r>
          </w:p>
        </w:tc>
      </w:tr>
      <w:tr>
        <w:trPr>
          <w:cantSplit/>
        </w:trPr>
        <w:tc>
          <w:tcPr>
            <w:tcW w:type="pct" w:w="1071"/>
          </w:tcPr>
          <w:p>
            <w:pPr>
              <w:pStyle w:val="Compact"/>
              <w:jc w:val="left"/>
            </w:pPr>
            <w:r>
              <w:rPr>
                <w:sz w:val="20"/>
              </w:rPr>
              <w:t xml:space="preserve">Watergate tapes (contrast)</w:t>
            </w:r>
          </w:p>
        </w:tc>
        <w:tc>
          <w:tcPr>
            <w:tcW w:type="pct" w:w="1071"/>
          </w:tcPr>
          <w:p>
            <w:pPr>
              <w:pStyle w:val="Compact"/>
              <w:jc w:val="left"/>
            </w:pPr>
            <w:r>
              <w:rPr>
                <w:sz w:val="20"/>
              </w:rPr>
              <w:t xml:space="preserve">Remedy attempted and defeated outside Congress</w:t>
            </w:r>
          </w:p>
        </w:tc>
        <w:tc>
          <w:tcPr>
            <w:tcW w:type="pct" w:w="1786"/>
          </w:tcPr>
          <w:p>
            <w:pPr>
              <w:pStyle w:val="Compact"/>
              <w:jc w:val="center"/>
            </w:pPr>
            <w:r>
              <w:rPr>
                <w:sz w:val="20"/>
              </w:rPr>
              <w:t xml:space="preserve">✓ (the committee’s own suit)</w:t>
            </w:r>
          </w:p>
        </w:tc>
        <w:tc>
          <w:tcPr>
            <w:tcW w:type="pct" w:w="1072"/>
          </w:tcPr>
          <w:p>
            <w:pPr>
              <w:pStyle w:val="Compact"/>
              <w:jc w:val="left"/>
            </w:pPr>
            <w:r>
              <w:rPr>
                <w:sz w:val="20"/>
              </w:rPr>
              <w:t xml:space="preserve">The committee’s suit was dismissed, and on May 23, 1974 the D.C. Circuit affirmed: applying the presumption of privilege it had stated in</w:t>
            </w:r>
            <w:r>
              <w:rPr>
                <w:sz w:val="20"/>
              </w:rPr>
              <w:t xml:space="preserve"> </w:t>
            </w:r>
            <w:r>
              <w:rPr>
                <w:iCs/>
                <w:i/>
                <w:sz w:val="20"/>
              </w:rPr>
              <w:t xml:space="preserve">Nixon v. Sirica</w:t>
            </w:r>
            <w:r>
              <w:rPr>
                <w:sz w:val="20"/>
              </w:rPr>
              <w:t xml:space="preserve">, it held that the committee had not shown the tapes to be demonstrably critical to its functions. The tapes were compelled on the Special Prosecutor’s trial subpoena, not the committee’s.</w:t>
            </w:r>
            <w:r>
              <w:rPr>
                <w:sz w:val="20"/>
                <w:vertAlign w:val="superscript"/>
              </w:rPr>
              <w:t xml:space="preserve">see n. 33</w:t>
            </w:r>
          </w:p>
        </w:tc>
      </w:tr>
      <w:tr>
        <w:trPr>
          <w:cantSplit/>
        </w:trPr>
        <w:tc>
          <w:tcPr>
            <w:tcW w:type="pct" w:w="1071"/>
          </w:tcPr>
          <w:p>
            <w:pPr>
              <w:pStyle w:val="Compact"/>
              <w:jc w:val="left"/>
            </w:pPr>
            <w:r>
              <w:rPr>
                <w:sz w:val="20"/>
              </w:rPr>
              <w:t xml:space="preserve">Watergate tapes (contrast)</w:t>
            </w:r>
          </w:p>
        </w:tc>
        <w:tc>
          <w:tcPr>
            <w:tcW w:type="pct" w:w="1071"/>
          </w:tcPr>
          <w:p>
            <w:pPr>
              <w:pStyle w:val="Compact"/>
              <w:jc w:val="left"/>
            </w:pPr>
            <w:r>
              <w:rPr>
                <w:sz w:val="20"/>
              </w:rPr>
              <w:t xml:space="preserve">Informal negotiation</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In October 1973 Senators Ervin and Baker met the President at his request. By the President’s account, he proposed that Senator John Stennis listen to the tapes and verify a statement of their contents, and the two senators approved. The committee’s final report states that they</w:t>
            </w:r>
            <w:r>
              <w:rPr>
                <w:sz w:val="20"/>
              </w:rPr>
              <w:t xml:space="preserve"> </w:t>
            </w:r>
            <w:r>
              <w:rPr>
                <w:sz w:val="20"/>
              </w:rPr>
              <w:t xml:space="preserve">“</w:t>
            </w:r>
            <w:r>
              <w:rPr>
                <w:sz w:val="20"/>
              </w:rPr>
              <w:t xml:space="preserve">agreed to no such compromise</w:t>
            </w:r>
            <w:r>
              <w:rPr>
                <w:sz w:val="20"/>
              </w:rPr>
              <w:t xml:space="preserve">”</w:t>
            </w:r>
            <w:r>
              <w:rPr>
                <w:sz w:val="20"/>
              </w:rPr>
              <w:t xml:space="preserve"> </w:t>
            </w:r>
            <w:r>
              <w:rPr>
                <w:sz w:val="20"/>
              </w:rPr>
              <w:t xml:space="preserve">and that the President</w:t>
            </w:r>
            <w:r>
              <w:rPr>
                <w:sz w:val="20"/>
              </w:rPr>
              <w:t xml:space="preserve"> </w:t>
            </w:r>
            <w:r>
              <w:rPr>
                <w:sz w:val="20"/>
              </w:rPr>
              <w:t xml:space="preserve">“</w:t>
            </w:r>
            <w:r>
              <w:rPr>
                <w:iCs/>
                <w:i/>
                <w:sz w:val="20"/>
              </w:rPr>
              <w:t xml:space="preserve">unilaterally</w:t>
            </w:r>
            <w:r>
              <w:rPr>
                <w:sz w:val="20"/>
              </w:rPr>
              <w:t xml:space="preserve"> </w:t>
            </w:r>
            <w:r>
              <w:rPr>
                <w:sz w:val="20"/>
              </w:rPr>
              <w:t xml:space="preserve">offered certain materials to the committee</w:t>
            </w:r>
            <w:r>
              <w:rPr>
                <w:sz w:val="20"/>
              </w:rPr>
              <w:t xml:space="preserve">”</w:t>
            </w:r>
            <w:r>
              <w:rPr>
                <w:sz w:val="20"/>
              </w:rPr>
              <w:t xml:space="preserve">; the same paragraph says that the two senators understood him to be offering</w:t>
            </w:r>
            <w:r>
              <w:rPr>
                <w:sz w:val="20"/>
              </w:rPr>
              <w:t xml:space="preserve"> </w:t>
            </w:r>
            <w:r>
              <w:rPr>
                <w:sz w:val="20"/>
              </w:rPr>
              <w:t xml:space="preserve">“</w:t>
            </w:r>
            <w:r>
              <w:rPr>
                <w:sz w:val="20"/>
              </w:rPr>
              <w:t xml:space="preserve">verbatim transcripts of the conversations at issue, not mere</w:t>
            </w:r>
            <w:r>
              <w:rPr>
                <w:sz w:val="20"/>
              </w:rPr>
              <w:t xml:space="preserve"> </w:t>
            </w:r>
            <w:r>
              <w:rPr>
                <w:sz w:val="20"/>
              </w:rPr>
              <w:t xml:space="preserve">‘</w:t>
            </w:r>
            <w:r>
              <w:rPr>
                <w:sz w:val="20"/>
              </w:rPr>
              <w:t xml:space="preserve">summaries,</w:t>
            </w:r>
            <w:r>
              <w:rPr>
                <w:sz w:val="20"/>
              </w:rPr>
              <w:t xml:space="preserve">’</w:t>
            </w:r>
            <w:r>
              <w:rPr>
                <w:sz w:val="20"/>
              </w:rPr>
              <w:t xml:space="preserve">”</w:t>
            </w:r>
            <w:r>
              <w:rPr>
                <w:sz w:val="20"/>
              </w:rPr>
              <w:t xml:space="preserve"> </w:t>
            </w:r>
            <w:r>
              <w:rPr>
                <w:sz w:val="20"/>
              </w:rPr>
              <w:t xml:space="preserve">that the committee</w:t>
            </w:r>
            <w:r>
              <w:rPr>
                <w:sz w:val="20"/>
              </w:rPr>
              <w:t xml:space="preserve"> </w:t>
            </w:r>
            <w:r>
              <w:rPr>
                <w:sz w:val="20"/>
              </w:rPr>
              <w:t xml:space="preserve">“</w:t>
            </w:r>
            <w:r>
              <w:rPr>
                <w:sz w:val="20"/>
              </w:rPr>
              <w:t xml:space="preserve">in all events, could pursue its lawsuit,</w:t>
            </w:r>
            <w:r>
              <w:rPr>
                <w:sz w:val="20"/>
              </w:rPr>
              <w:t xml:space="preserve">”</w:t>
            </w:r>
            <w:r>
              <w:rPr>
                <w:sz w:val="20"/>
              </w:rPr>
              <w:t xml:space="preserve"> </w:t>
            </w:r>
            <w:r>
              <w:rPr>
                <w:sz w:val="20"/>
              </w:rPr>
              <w:t xml:space="preserve">and that the proposal never materialized and the suit continued. The mark rests on the codebook’s first mixed category, terms the executive offered with limited bargaining, as the report’s</w:t>
            </w:r>
            <w:r>
              <w:rPr>
                <w:sz w:val="20"/>
              </w:rPr>
              <w:t xml:space="preserve"> </w:t>
            </w:r>
            <w:r>
              <w:rPr>
                <w:sz w:val="20"/>
              </w:rPr>
              <w:t xml:space="preserve">“</w:t>
            </w:r>
            <w:r>
              <w:rPr>
                <w:sz w:val="20"/>
              </w:rPr>
              <w:t xml:space="preserve">unilaterally</w:t>
            </w:r>
            <w:r>
              <w:rPr>
                <w:sz w:val="20"/>
              </w:rPr>
              <w:t xml:space="preserve">”</w:t>
            </w:r>
            <w:r>
              <w:rPr>
                <w:sz w:val="20"/>
              </w:rPr>
              <w:t xml:space="preserve"> </w:t>
            </w:r>
            <w:r>
              <w:rPr>
                <w:sz w:val="20"/>
              </w:rPr>
              <w:t xml:space="preserve">describes them. The committee’s earlier informal attempts were requests, not bargaining, and are not scored here.</w:t>
            </w:r>
            <w:r>
              <w:rPr>
                <w:sz w:val="20"/>
                <w:vertAlign w:val="superscript"/>
              </w:rPr>
              <w:t xml:space="preserve">see n. 33</w:t>
            </w:r>
          </w:p>
        </w:tc>
      </w:tr>
      <w:tr>
        <w:trPr>
          <w:cantSplit/>
        </w:trPr>
        <w:tc>
          <w:tcPr>
            <w:tcW w:type="pct" w:w="1071"/>
          </w:tcPr>
          <w:p>
            <w:pPr>
              <w:pStyle w:val="Compact"/>
              <w:jc w:val="left"/>
            </w:pPr>
            <w:r>
              <w:rPr>
                <w:sz w:val="20"/>
              </w:rPr>
              <w:t xml:space="preserve">Watergate tapes (contrast)</w:t>
            </w:r>
          </w:p>
        </w:tc>
        <w:tc>
          <w:tcPr>
            <w:tcW w:type="pct" w:w="1071"/>
          </w:tcPr>
          <w:p>
            <w:pPr>
              <w:pStyle w:val="Compact"/>
              <w:jc w:val="left"/>
            </w:pPr>
            <w:r>
              <w:rPr>
                <w:sz w:val="20"/>
              </w:rPr>
              <w:t xml:space="preserve">Limited individual accountability</w:t>
            </w:r>
          </w:p>
        </w:tc>
        <w:tc>
          <w:tcPr>
            <w:tcW w:type="pct" w:w="1786"/>
          </w:tcPr>
          <w:p>
            <w:pPr>
              <w:pStyle w:val="Compact"/>
              <w:jc w:val="center"/>
            </w:pPr>
            <w:r>
              <w:rPr>
                <w:sz w:val="20"/>
              </w:rPr>
              <w:t xml:space="preserve">◑</w:t>
            </w:r>
          </w:p>
        </w:tc>
        <w:tc>
          <w:tcPr>
            <w:tcW w:type="pct" w:w="1072"/>
          </w:tcPr>
          <w:p>
            <w:pPr>
              <w:pStyle w:val="Compact"/>
              <w:jc w:val="left"/>
            </w:pPr>
            <w:r>
              <w:rPr>
                <w:sz w:val="20"/>
              </w:rPr>
              <w:t xml:space="preserve">The President resigned on August 9, 1974 and was pardoned on September 8, 1974; Haldeman, Ehrlichman, and Mitchell were convicted and sentenced to imprisonment, and their convictions were affirmed.</w:t>
            </w:r>
            <w:r>
              <w:rPr>
                <w:sz w:val="20"/>
                <w:vertAlign w:val="superscript"/>
              </w:rPr>
              <w:t xml:space="preserve">see n. 33</w:t>
            </w:r>
          </w:p>
        </w:tc>
      </w:tr>
    </w:tbl>
    <w:p>
      <w:r>
        <w:pict>
          <v:rect style="width:0;height:1.5pt" o:hralign="center" o:hrstd="t" o:hr="t"/>
        </w:pict>
      </w:r>
    </w:p>
    <w:bookmarkEnd w:id="204"/>
    <w:bookmarkStart w:id="210" w:name="Xad86da9e79e25811d9d4c689c5396bcb2470802"/>
    <w:p>
      <w:pPr>
        <w:pStyle w:val="Heading2"/>
      </w:pPr>
      <w:r>
        <w:t xml:space="preserve">Appendix C — Statutory Openings, Enforcement Routes, and Remedy Matrix</w:t>
      </w:r>
    </w:p>
    <w:p>
      <w:pPr>
        <w:pStyle w:val="FirstParagraph"/>
      </w:pPr>
      <w:r>
        <w:t xml:space="preserve">This appendix holds five tables that support the statutory analysis and the Recommendations. It does not count toward the main-text length. Page references are to the primary documents cited in the notes;</w:t>
      </w:r>
      <w:r>
        <w:t xml:space="preserve"> </w:t>
      </w:r>
      <w:r>
        <w:t xml:space="preserve">“</w:t>
      </w:r>
      <w:r>
        <w:t xml:space="preserve">Letter #1</w:t>
      </w:r>
      <w:r>
        <w:t xml:space="preserve">”</w:t>
      </w:r>
      <w:r>
        <w:t xml:space="preserve"> </w:t>
      </w:r>
      <w:r>
        <w:t xml:space="preserve">and</w:t>
      </w:r>
      <w:r>
        <w:t xml:space="preserve"> </w:t>
      </w:r>
      <w:r>
        <w:t xml:space="preserve">“</w:t>
      </w:r>
      <w:r>
        <w:t xml:space="preserve">Letter #2</w:t>
      </w:r>
      <w:r>
        <w:t xml:space="preserve">”</w:t>
      </w:r>
      <w:r>
        <w:t xml:space="preserve"> </w:t>
      </w:r>
      <w:r>
        <w:t xml:space="preserve">are DOJ’s compliance letters of December 19, 2025 and January 30, 2026, and</w:t>
      </w:r>
      <w:r>
        <w:t xml:space="preserve"> </w:t>
      </w:r>
      <w:r>
        <w:t xml:space="preserve">“</w:t>
      </w:r>
      <w:r>
        <w:t xml:space="preserve">ECF</w:t>
      </w:r>
      <w:r>
        <w:t xml:space="preserve">”</w:t>
      </w:r>
      <w:r>
        <w:t xml:space="preserve"> </w:t>
      </w:r>
      <w:r>
        <w:t xml:space="preserve">numbers are docket entries in</w:t>
      </w:r>
      <w:r>
        <w:t xml:space="preserve"> </w:t>
      </w:r>
      <w:r>
        <w:rPr>
          <w:iCs/>
          <w:i/>
        </w:rPr>
        <w:t xml:space="preserve">Phang v. Blanche</w:t>
      </w:r>
      <w:r>
        <w:t xml:space="preserve">.</w:t>
      </w:r>
    </w:p>
    <w:p>
      <w:pPr>
        <w:pStyle w:val="BodyText"/>
      </w:pPr>
      <w:r>
        <w:rPr>
          <w:bCs/>
          <w:b/>
        </w:rPr>
        <w:t xml:space="preserve">Table C.1. Statutory openings for executive self-definition in the Act</w:t>
      </w:r>
      <w:r>
        <w:rPr>
          <w:rStyle w:val="FootnoteReference"/>
        </w:rPr>
        <w:footnoteReference w:id="205"/>
      </w:r>
    </w:p>
    <w:tbl>
      <w:tblPr>
        <w:tblStyle w:val="Table"/>
        <w:tblW w:type="pct" w:w="5000"/>
        <w:tblLook w:firstRow="1" w:lastRow="0" w:firstColumn="0" w:lastColumn="0" w:noHBand="0" w:noVBand="0" w:val="0020"/>
        <w:jc w:val="start"/>
        <w:tblLayout w:type="autofit"/>
      </w:tblPr>
      <w:tblGrid>
        <w:gridCol w:w="2640"/>
        <w:gridCol w:w="2640"/>
        <w:gridCol w:w="2640"/>
      </w:tblGrid>
      <w:tr>
        <w:trPr>
          <w:tblHeader w:val="true"/>
          <w:cantSplit/>
        </w:trPr>
        <w:tc>
          <w:tcPr>
            <w:tcW w:type="pct" w:w="1667"/>
          </w:tcPr>
          <w:p>
            <w:pPr>
              <w:pStyle w:val="Compact"/>
              <w:jc w:val="left"/>
            </w:pPr>
            <w:r>
              <w:rPr>
                <w:b/>
                <w:sz w:val="20"/>
              </w:rPr>
              <w:t xml:space="preserve">Enacted feature</w:t>
            </w:r>
          </w:p>
        </w:tc>
        <w:tc>
          <w:tcPr>
            <w:tcW w:type="pct" w:w="1667"/>
          </w:tcPr>
          <w:p>
            <w:pPr>
              <w:pStyle w:val="Compact"/>
              <w:jc w:val="left"/>
            </w:pPr>
            <w:r>
              <w:rPr>
                <w:b/>
                <w:sz w:val="20"/>
              </w:rPr>
              <w:t xml:space="preserve">Who determines it</w:t>
            </w:r>
          </w:p>
        </w:tc>
        <w:tc>
          <w:tcPr>
            <w:tcW w:type="pct" w:w="1666"/>
          </w:tcPr>
          <w:p>
            <w:pPr>
              <w:pStyle w:val="Compact"/>
              <w:jc w:val="left"/>
            </w:pPr>
            <w:r>
              <w:rPr>
                <w:b/>
                <w:sz w:val="20"/>
              </w:rPr>
              <w:t xml:space="preserve">What the record shows</w:t>
            </w:r>
          </w:p>
        </w:tc>
      </w:tr>
      <w:tr>
        <w:trPr>
          <w:cantSplit/>
        </w:trPr>
        <w:tc>
          <w:tcPr>
            <w:tcW w:type="pct" w:w="1667"/>
          </w:tcPr>
          <w:p>
            <w:pPr>
              <w:pStyle w:val="Compact"/>
              <w:jc w:val="left"/>
            </w:pPr>
            <w:r>
              <w:rPr>
                <w:sz w:val="20"/>
              </w:rPr>
              <w:t xml:space="preserve">§ 3: report due</w:t>
            </w:r>
            <w:r>
              <w:rPr>
                <w:sz w:val="20"/>
              </w:rPr>
              <w:t xml:space="preserve"> </w:t>
            </w:r>
            <w:r>
              <w:rPr>
                <w:sz w:val="20"/>
              </w:rPr>
              <w:t xml:space="preserve">“</w:t>
            </w:r>
            <w:r>
              <w:rPr>
                <w:sz w:val="20"/>
              </w:rPr>
              <w:t xml:space="preserve">Within 15 days of completion of the release</w:t>
            </w:r>
            <w:r>
              <w:rPr>
                <w:sz w:val="20"/>
              </w:rPr>
              <w:t xml:space="preserve">”</w:t>
            </w:r>
          </w:p>
        </w:tc>
        <w:tc>
          <w:tcPr>
            <w:tcW w:type="pct" w:w="1667"/>
          </w:tcPr>
          <w:p>
            <w:pPr>
              <w:pStyle w:val="Compact"/>
              <w:jc w:val="left"/>
            </w:pPr>
            <w:r>
              <w:rPr>
                <w:sz w:val="20"/>
              </w:rPr>
              <w:t xml:space="preserve">The Attorney General, by declaring completion; no date certain</w:t>
            </w:r>
          </w:p>
        </w:tc>
        <w:tc>
          <w:tcPr>
            <w:tcW w:type="pct" w:w="1666"/>
          </w:tcPr>
          <w:p>
            <w:pPr>
              <w:pStyle w:val="Compact"/>
              <w:jc w:val="left"/>
            </w:pPr>
            <w:r>
              <w:rPr>
                <w:sz w:val="20"/>
              </w:rPr>
              <w:t xml:space="preserve">Completion declared January 30, 2026; report dated February 14, 2026</w:t>
            </w:r>
          </w:p>
        </w:tc>
      </w:tr>
      <w:tr>
        <w:trPr>
          <w:cantSplit/>
        </w:trPr>
        <w:tc>
          <w:tcPr>
            <w:tcW w:type="pct" w:w="1667"/>
          </w:tcPr>
          <w:p>
            <w:pPr>
              <w:pStyle w:val="Compact"/>
              <w:jc w:val="left"/>
            </w:pPr>
            <w:r>
              <w:rPr>
                <w:sz w:val="20"/>
              </w:rPr>
              <w:t xml:space="preserve">§ 3: report goes to</w:t>
            </w:r>
            <w:r>
              <w:rPr>
                <w:sz w:val="20"/>
              </w:rPr>
              <w:t xml:space="preserve"> </w:t>
            </w:r>
            <w:r>
              <w:rPr>
                <w:sz w:val="20"/>
              </w:rPr>
              <w:t xml:space="preserve">“</w:t>
            </w:r>
            <w:r>
              <w:rPr>
                <w:sz w:val="20"/>
              </w:rPr>
              <w:t xml:space="preserve">the House and Senate Committees on the Judiciary</w:t>
            </w:r>
            <w:r>
              <w:rPr>
                <w:sz w:val="20"/>
              </w:rPr>
              <w:t xml:space="preserve">”</w:t>
            </w:r>
          </w:p>
        </w:tc>
        <w:tc>
          <w:tcPr>
            <w:tcW w:type="pct" w:w="1667"/>
          </w:tcPr>
          <w:p>
            <w:pPr>
              <w:pStyle w:val="Compact"/>
              <w:jc w:val="left"/>
            </w:pPr>
            <w:r>
              <w:rPr>
                <w:sz w:val="20"/>
              </w:rPr>
              <w:t xml:space="preserve">The statute</w:t>
            </w:r>
          </w:p>
        </w:tc>
        <w:tc>
          <w:tcPr>
            <w:tcW w:type="pct" w:w="1666"/>
          </w:tcPr>
          <w:p>
            <w:pPr>
              <w:pStyle w:val="Compact"/>
              <w:jc w:val="left"/>
            </w:pPr>
            <w:r>
              <w:rPr>
                <w:sz w:val="20"/>
              </w:rPr>
              <w:t xml:space="preserve">The committee that issued the August 5, 2025 subpoena and marked up contempt is the House Oversight Committee, which § 3 does not name</w:t>
            </w:r>
          </w:p>
        </w:tc>
      </w:tr>
      <w:tr>
        <w:trPr>
          <w:cantSplit/>
        </w:trPr>
        <w:tc>
          <w:tcPr>
            <w:tcW w:type="pct" w:w="1667"/>
          </w:tcPr>
          <w:p>
            <w:pPr>
              <w:pStyle w:val="Compact"/>
              <w:jc w:val="left"/>
            </w:pPr>
            <w:r>
              <w:rPr>
                <w:sz w:val="20"/>
              </w:rPr>
              <w:t xml:space="preserve">§ 3(3):</w:t>
            </w:r>
            <w:r>
              <w:rPr>
                <w:sz w:val="20"/>
              </w:rPr>
              <w:t xml:space="preserve"> </w:t>
            </w:r>
            <w:r>
              <w:rPr>
                <w:sz w:val="20"/>
              </w:rPr>
              <w:t xml:space="preserve">“</w:t>
            </w:r>
            <w:r>
              <w:rPr>
                <w:sz w:val="20"/>
              </w:rPr>
              <w:t xml:space="preserve">politically exposed persons</w:t>
            </w:r>
            <w:r>
              <w:rPr>
                <w:sz w:val="20"/>
              </w:rPr>
              <w:t xml:space="preserve">”</w:t>
            </w:r>
          </w:p>
        </w:tc>
        <w:tc>
          <w:tcPr>
            <w:tcW w:type="pct" w:w="1667"/>
          </w:tcPr>
          <w:p>
            <w:pPr>
              <w:pStyle w:val="Compact"/>
              <w:jc w:val="left"/>
            </w:pPr>
            <w:r>
              <w:rPr>
                <w:sz w:val="20"/>
              </w:rPr>
              <w:t xml:space="preserve">Undefined; applied by DOJ</w:t>
            </w:r>
          </w:p>
        </w:tc>
        <w:tc>
          <w:tcPr>
            <w:tcW w:type="pct" w:w="1666"/>
          </w:tcPr>
          <w:p>
            <w:pPr>
              <w:pStyle w:val="Compact"/>
              <w:jc w:val="left"/>
            </w:pPr>
            <w:r>
              <w:rPr>
                <w:sz w:val="20"/>
              </w:rPr>
              <w:t xml:space="preserve">The Section 3 Report (p. 3) states that the term</w:t>
            </w:r>
            <w:r>
              <w:rPr>
                <w:sz w:val="20"/>
              </w:rPr>
              <w:t xml:space="preserve"> </w:t>
            </w:r>
            <w:r>
              <w:rPr>
                <w:sz w:val="20"/>
              </w:rPr>
              <w:t xml:space="preserve">“</w:t>
            </w:r>
            <w:r>
              <w:rPr>
                <w:sz w:val="20"/>
              </w:rPr>
              <w:t xml:space="preserve">was not defined</w:t>
            </w:r>
            <w:r>
              <w:rPr>
                <w:sz w:val="20"/>
              </w:rPr>
              <w:t xml:space="preserve">”</w:t>
            </w:r>
            <w:r>
              <w:rPr>
                <w:sz w:val="20"/>
              </w:rPr>
              <w:t xml:space="preserve"> </w:t>
            </w:r>
            <w:r>
              <w:rPr>
                <w:sz w:val="20"/>
              </w:rPr>
              <w:t xml:space="preserve">in the Act and applies its own reading; its note 2 (p. 4) states that individuals</w:t>
            </w:r>
            <w:r>
              <w:rPr>
                <w:sz w:val="20"/>
              </w:rPr>
              <w:t xml:space="preserve"> </w:t>
            </w:r>
            <w:r>
              <w:rPr>
                <w:sz w:val="20"/>
              </w:rPr>
              <w:t xml:space="preserve">“</w:t>
            </w:r>
            <w:r>
              <w:rPr>
                <w:sz w:val="20"/>
              </w:rPr>
              <w:t xml:space="preserve">whose names were redacted for law-enforcement sensitive purposes are not included,</w:t>
            </w:r>
            <w:r>
              <w:rPr>
                <w:sz w:val="20"/>
              </w:rPr>
              <w:t xml:space="preserve">”</w:t>
            </w:r>
            <w:r>
              <w:rPr>
                <w:sz w:val="20"/>
              </w:rPr>
              <w:t xml:space="preserve"> </w:t>
            </w:r>
            <w:r>
              <w:rPr>
                <w:sz w:val="20"/>
              </w:rPr>
              <w:t xml:space="preserve">although § 3(3) ends</w:t>
            </w:r>
            <w:r>
              <w:rPr>
                <w:sz w:val="20"/>
              </w:rPr>
              <w:t xml:space="preserve"> </w:t>
            </w:r>
            <w:r>
              <w:rPr>
                <w:sz w:val="20"/>
              </w:rPr>
              <w:t xml:space="preserve">“</w:t>
            </w:r>
            <w:r>
              <w:rPr>
                <w:sz w:val="20"/>
              </w:rPr>
              <w:t xml:space="preserve">with no redactions permitted under subsection (b)(1)</w:t>
            </w:r>
            <w:r>
              <w:rPr>
                <w:sz w:val="20"/>
              </w:rPr>
              <w:t xml:space="preserve">”</w:t>
            </w:r>
          </w:p>
        </w:tc>
      </w:tr>
      <w:tr>
        <w:trPr>
          <w:cantSplit/>
        </w:trPr>
        <w:tc>
          <w:tcPr>
            <w:tcW w:type="pct" w:w="1667"/>
          </w:tcPr>
          <w:p>
            <w:pPr>
              <w:pStyle w:val="Compact"/>
              <w:jc w:val="left"/>
            </w:pPr>
            <w:r>
              <w:rPr>
                <w:sz w:val="20"/>
              </w:rPr>
              <w:t xml:space="preserve">§ 2(c)(3):</w:t>
            </w:r>
            <w:r>
              <w:rPr>
                <w:sz w:val="20"/>
              </w:rPr>
              <w:t xml:space="preserve"> </w:t>
            </w:r>
            <w:r>
              <w:rPr>
                <w:sz w:val="20"/>
              </w:rPr>
              <w:t xml:space="preserve">“</w:t>
            </w:r>
            <w:r>
              <w:rPr>
                <w:sz w:val="20"/>
              </w:rPr>
              <w:t xml:space="preserve">covered information</w:t>
            </w:r>
            <w:r>
              <w:rPr>
                <w:sz w:val="20"/>
              </w:rPr>
              <w:t xml:space="preserve">”</w:t>
            </w:r>
            <w:r>
              <w:rPr>
                <w:sz w:val="20"/>
              </w:rPr>
              <w:t xml:space="preserve"> </w:t>
            </w:r>
            <w:r>
              <w:rPr>
                <w:sz w:val="20"/>
              </w:rPr>
              <w:t xml:space="preserve">withheld as classified to be declassified</w:t>
            </w:r>
            <w:r>
              <w:rPr>
                <w:sz w:val="20"/>
              </w:rPr>
              <w:t xml:space="preserve"> </w:t>
            </w:r>
            <w:r>
              <w:rPr>
                <w:sz w:val="20"/>
              </w:rPr>
              <w:t xml:space="preserve">“</w:t>
            </w:r>
            <w:r>
              <w:rPr>
                <w:sz w:val="20"/>
              </w:rPr>
              <w:t xml:space="preserve">to the maximum extent possible</w:t>
            </w:r>
            <w:r>
              <w:rPr>
                <w:sz w:val="20"/>
              </w:rPr>
              <w:t xml:space="preserve">”</w:t>
            </w:r>
          </w:p>
        </w:tc>
        <w:tc>
          <w:tcPr>
            <w:tcW w:type="pct" w:w="1667"/>
          </w:tcPr>
          <w:p>
            <w:pPr>
              <w:pStyle w:val="Compact"/>
              <w:jc w:val="left"/>
            </w:pPr>
            <w:r>
              <w:rPr>
                <w:sz w:val="20"/>
              </w:rPr>
              <w:t xml:space="preserve">Undefined term; DOJ</w:t>
            </w:r>
          </w:p>
        </w:tc>
        <w:tc>
          <w:tcPr>
            <w:tcW w:type="pct" w:w="1666"/>
          </w:tcPr>
          <w:p>
            <w:pPr>
              <w:pStyle w:val="Compact"/>
              <w:jc w:val="left"/>
            </w:pPr>
            <w:r>
              <w:rPr>
                <w:sz w:val="20"/>
              </w:rPr>
              <w:t xml:space="preserve">Letter #2 (p. 4) states that no files are withheld or redacted on the classification ground</w:t>
            </w:r>
          </w:p>
        </w:tc>
      </w:tr>
      <w:tr>
        <w:trPr>
          <w:cantSplit/>
        </w:trPr>
        <w:tc>
          <w:tcPr>
            <w:tcW w:type="pct" w:w="1667"/>
          </w:tcPr>
          <w:p>
            <w:pPr>
              <w:pStyle w:val="Compact"/>
              <w:jc w:val="left"/>
            </w:pPr>
            <w:r>
              <w:rPr>
                <w:sz w:val="20"/>
              </w:rPr>
              <w:t xml:space="preserve">§ 2(c)(4):</w:t>
            </w:r>
            <w:r>
              <w:rPr>
                <w:sz w:val="20"/>
              </w:rPr>
              <w:t xml:space="preserve"> </w:t>
            </w:r>
            <w:r>
              <w:rPr>
                <w:sz w:val="20"/>
              </w:rPr>
              <w:t xml:space="preserve">“</w:t>
            </w:r>
            <w:r>
              <w:rPr>
                <w:sz w:val="20"/>
              </w:rPr>
              <w:t xml:space="preserve">All decisions to classify any covered information after July 1, 2025</w:t>
            </w:r>
            <w:r>
              <w:rPr>
                <w:sz w:val="20"/>
              </w:rPr>
              <w:t xml:space="preserve">”</w:t>
            </w:r>
            <w:r>
              <w:rPr>
                <w:sz w:val="20"/>
              </w:rPr>
              <w:t xml:space="preserve"> </w:t>
            </w:r>
            <w:r>
              <w:rPr>
                <w:sz w:val="20"/>
              </w:rPr>
              <w:t xml:space="preserve">to be published and submitted to Congress</w:t>
            </w:r>
          </w:p>
        </w:tc>
        <w:tc>
          <w:tcPr>
            <w:tcW w:type="pct" w:w="1667"/>
          </w:tcPr>
          <w:p>
            <w:pPr>
              <w:pStyle w:val="Compact"/>
              <w:jc w:val="left"/>
            </w:pPr>
            <w:r>
              <w:rPr>
                <w:sz w:val="20"/>
              </w:rPr>
              <w:t xml:space="preserve">Undefined term; DOJ; the duty has its own trigger and does not depend on § 2(c)(1)(E)</w:t>
            </w:r>
          </w:p>
        </w:tc>
        <w:tc>
          <w:tcPr>
            <w:tcW w:type="pct" w:w="1666"/>
          </w:tcPr>
          <w:p>
            <w:pPr>
              <w:pStyle w:val="Compact"/>
              <w:jc w:val="left"/>
            </w:pPr>
            <w:r>
              <w:rPr>
                <w:sz w:val="20"/>
              </w:rPr>
              <w:t xml:space="preserve">The record reviewed here contains no published classification decision; the August 27 notice describes the duty as publishing</w:t>
            </w:r>
            <w:r>
              <w:rPr>
                <w:sz w:val="20"/>
              </w:rPr>
              <w:t xml:space="preserve"> </w:t>
            </w:r>
            <w:r>
              <w:rPr>
                <w:sz w:val="20"/>
              </w:rPr>
              <w:t xml:space="preserve">“</w:t>
            </w:r>
            <w:r>
              <w:rPr>
                <w:sz w:val="20"/>
              </w:rPr>
              <w:t xml:space="preserve">a justification for redactions and classification of records</w:t>
            </w:r>
            <w:r>
              <w:rPr>
                <w:sz w:val="20"/>
              </w:rPr>
              <w:t xml:space="preserve">”</w:t>
            </w:r>
          </w:p>
        </w:tc>
      </w:tr>
      <w:tr>
        <w:trPr>
          <w:cantSplit/>
        </w:trPr>
        <w:tc>
          <w:tcPr>
            <w:tcW w:type="pct" w:w="1667"/>
          </w:tcPr>
          <w:p>
            <w:pPr>
              <w:pStyle w:val="Compact"/>
              <w:jc w:val="left"/>
            </w:pPr>
            <w:r>
              <w:rPr>
                <w:sz w:val="20"/>
              </w:rPr>
              <w:t xml:space="preserve">§ 2(c)(2): no deadline, no named recipient beyond</w:t>
            </w:r>
            <w:r>
              <w:rPr>
                <w:sz w:val="20"/>
              </w:rPr>
              <w:t xml:space="preserve"> </w:t>
            </w:r>
            <w:r>
              <w:rPr>
                <w:sz w:val="20"/>
              </w:rPr>
              <w:t xml:space="preserve">“</w:t>
            </w:r>
            <w:r>
              <w:rPr>
                <w:sz w:val="20"/>
              </w:rPr>
              <w:t xml:space="preserve">Congress,</w:t>
            </w:r>
            <w:r>
              <w:rPr>
                <w:sz w:val="20"/>
              </w:rPr>
              <w:t xml:space="preserve">”</w:t>
            </w:r>
            <w:r>
              <w:rPr>
                <w:sz w:val="20"/>
              </w:rPr>
              <w:t xml:space="preserve"> </w:t>
            </w:r>
            <w:r>
              <w:rPr>
                <w:sz w:val="20"/>
              </w:rPr>
              <w:t xml:space="preserve">and</w:t>
            </w:r>
            <w:r>
              <w:rPr>
                <w:sz w:val="20"/>
              </w:rPr>
              <w:t xml:space="preserve"> </w:t>
            </w:r>
            <w:r>
              <w:rPr>
                <w:sz w:val="20"/>
              </w:rPr>
              <w:t xml:space="preserve">“</w:t>
            </w:r>
            <w:r>
              <w:rPr>
                <w:sz w:val="20"/>
              </w:rPr>
              <w:t xml:space="preserve">redactions</w:t>
            </w:r>
            <w:r>
              <w:rPr>
                <w:sz w:val="20"/>
              </w:rPr>
              <w:t xml:space="preserve">”</w:t>
            </w:r>
            <w:r>
              <w:rPr>
                <w:sz w:val="20"/>
              </w:rPr>
              <w:t xml:space="preserve"> </w:t>
            </w:r>
            <w:r>
              <w:rPr>
                <w:sz w:val="20"/>
              </w:rPr>
              <w:t xml:space="preserve">but not withholdings</w:t>
            </w:r>
          </w:p>
        </w:tc>
        <w:tc>
          <w:tcPr>
            <w:tcW w:type="pct" w:w="1667"/>
          </w:tcPr>
          <w:p>
            <w:pPr>
              <w:pStyle w:val="Compact"/>
              <w:jc w:val="left"/>
            </w:pPr>
            <w:r>
              <w:rPr>
                <w:sz w:val="20"/>
              </w:rPr>
              <w:t xml:space="preserve">DOJ</w:t>
            </w:r>
          </w:p>
        </w:tc>
        <w:tc>
          <w:tcPr>
            <w:tcW w:type="pct" w:w="1666"/>
          </w:tcPr>
          <w:p>
            <w:pPr>
              <w:pStyle w:val="Compact"/>
              <w:jc w:val="left"/>
            </w:pPr>
            <w:r>
              <w:rPr>
                <w:sz w:val="20"/>
              </w:rPr>
              <w:t xml:space="preserve">Letter #1 (p. 3) promised a privilege log</w:t>
            </w:r>
            <w:r>
              <w:rPr>
                <w:sz w:val="20"/>
              </w:rPr>
              <w:t xml:space="preserve"> </w:t>
            </w:r>
            <w:r>
              <w:rPr>
                <w:sz w:val="20"/>
              </w:rPr>
              <w:t xml:space="preserve">“</w:t>
            </w:r>
            <w:r>
              <w:rPr>
                <w:sz w:val="20"/>
              </w:rPr>
              <w:t xml:space="preserve">as required under the Act</w:t>
            </w:r>
            <w:r>
              <w:rPr>
                <w:sz w:val="20"/>
              </w:rPr>
              <w:t xml:space="preserve">”</w:t>
            </w:r>
            <w:r>
              <w:rPr>
                <w:sz w:val="20"/>
              </w:rPr>
              <w:t xml:space="preserve">; the court later recorded DOJ’s position:</w:t>
            </w:r>
            <w:r>
              <w:rPr>
                <w:sz w:val="20"/>
              </w:rPr>
              <w:t xml:space="preserve"> </w:t>
            </w:r>
            <w:r>
              <w:rPr>
                <w:sz w:val="20"/>
              </w:rPr>
              <w:t xml:space="preserve">“</w:t>
            </w:r>
            <w:r>
              <w:rPr>
                <w:sz w:val="20"/>
              </w:rPr>
              <w:t xml:space="preserve">Defendant states that there is no deadline for submission of the redaction information</w:t>
            </w:r>
            <w:r>
              <w:rPr>
                <w:sz w:val="20"/>
              </w:rPr>
              <w:t xml:space="preserve">”</w:t>
            </w:r>
            <w:r>
              <w:rPr>
                <w:sz w:val="20"/>
              </w:rPr>
              <w:t xml:space="preserve"> </w:t>
            </w:r>
            <w:r>
              <w:rPr>
                <w:sz w:val="20"/>
              </w:rPr>
              <w:t xml:space="preserve">(ECF 43, p. 6)</w:t>
            </w:r>
          </w:p>
        </w:tc>
      </w:tr>
      <w:tr>
        <w:trPr>
          <w:cantSplit/>
        </w:trPr>
        <w:tc>
          <w:tcPr>
            <w:tcW w:type="pct" w:w="1667"/>
          </w:tcPr>
          <w:p>
            <w:pPr>
              <w:pStyle w:val="Compact"/>
              <w:jc w:val="left"/>
            </w:pPr>
            <w:r>
              <w:rPr>
                <w:sz w:val="20"/>
              </w:rPr>
              <w:t xml:space="preserve">§ 2(c)(1):</w:t>
            </w:r>
            <w:r>
              <w:rPr>
                <w:sz w:val="20"/>
              </w:rPr>
              <w:t xml:space="preserve"> </w:t>
            </w:r>
            <w:r>
              <w:rPr>
                <w:sz w:val="20"/>
              </w:rPr>
              <w:t xml:space="preserve">“</w:t>
            </w:r>
            <w:r>
              <w:rPr>
                <w:sz w:val="20"/>
              </w:rPr>
              <w:t xml:space="preserve">may withhold or redact the segregable portions of records that</w:t>
            </w:r>
            <w:r>
              <w:rPr>
                <w:sz w:val="20"/>
              </w:rPr>
              <w:t xml:space="preserve">”</w:t>
            </w:r>
          </w:p>
        </w:tc>
        <w:tc>
          <w:tcPr>
            <w:tcW w:type="pct" w:w="1667"/>
          </w:tcPr>
          <w:p>
            <w:pPr>
              <w:pStyle w:val="Compact"/>
              <w:jc w:val="left"/>
            </w:pPr>
            <w:r>
              <w:rPr>
                <w:sz w:val="20"/>
              </w:rPr>
              <w:t xml:space="preserve">The Attorney General</w:t>
            </w:r>
          </w:p>
        </w:tc>
        <w:tc>
          <w:tcPr>
            <w:tcW w:type="pct" w:w="1666"/>
          </w:tcPr>
          <w:p>
            <w:pPr>
              <w:pStyle w:val="Compact"/>
              <w:jc w:val="left"/>
            </w:pPr>
            <w:r>
              <w:rPr>
                <w:sz w:val="20"/>
              </w:rPr>
              <w:t xml:space="preserve">Withholding is permissive even for victim-identifying material and child sexual abuse material, though distribution of child sexual abuse material is separately barred by 18 U.S.C. §§ 2252–2252A; the text requires no segregability finding, explanation, or reviewer</w:t>
            </w:r>
          </w:p>
        </w:tc>
      </w:tr>
      <w:tr>
        <w:trPr>
          <w:cantSplit/>
        </w:trPr>
        <w:tc>
          <w:tcPr>
            <w:tcW w:type="pct" w:w="1667"/>
          </w:tcPr>
          <w:p>
            <w:pPr>
              <w:pStyle w:val="Compact"/>
              <w:jc w:val="left"/>
            </w:pPr>
            <w:r>
              <w:rPr>
                <w:sz w:val="20"/>
              </w:rPr>
              <w:t xml:space="preserve">§ 2(b)(1): a prohibition keyed to the basis of a redaction</w:t>
            </w:r>
          </w:p>
        </w:tc>
        <w:tc>
          <w:tcPr>
            <w:tcW w:type="pct" w:w="1667"/>
          </w:tcPr>
          <w:p>
            <w:pPr>
              <w:pStyle w:val="Compact"/>
              <w:jc w:val="left"/>
            </w:pPr>
            <w:r>
              <w:rPr>
                <w:sz w:val="20"/>
              </w:rPr>
              <w:t xml:space="preserve">DOJ</w:t>
            </w:r>
          </w:p>
        </w:tc>
        <w:tc>
          <w:tcPr>
            <w:tcW w:type="pct" w:w="1666"/>
          </w:tcPr>
          <w:p>
            <w:pPr>
              <w:pStyle w:val="Compact"/>
              <w:jc w:val="left"/>
            </w:pPr>
            <w:r>
              <w:rPr>
                <w:sz w:val="20"/>
              </w:rPr>
              <w:t xml:space="preserve">The subsection has no test, certification duty, or consequence, and it can be audited only if each redaction carries a stated reason; the Section 3 Report (p. 2) states that no record was withheld or redacted on those grounds</w:t>
            </w:r>
          </w:p>
        </w:tc>
      </w:tr>
      <w:tr>
        <w:trPr>
          <w:cantSplit/>
        </w:trPr>
        <w:tc>
          <w:tcPr>
            <w:tcW w:type="pct" w:w="1667"/>
          </w:tcPr>
          <w:p>
            <w:pPr>
              <w:pStyle w:val="Compact"/>
              <w:jc w:val="left"/>
            </w:pPr>
            <w:r>
              <w:rPr>
                <w:sz w:val="20"/>
              </w:rPr>
              <w:t xml:space="preserve">§ 2(c)(1)(C):</w:t>
            </w:r>
            <w:r>
              <w:rPr>
                <w:sz w:val="20"/>
              </w:rPr>
              <w:t xml:space="preserve"> </w:t>
            </w:r>
            <w:r>
              <w:rPr>
                <w:sz w:val="20"/>
              </w:rPr>
              <w:t xml:space="preserve">“</w:t>
            </w:r>
            <w:r>
              <w:rPr>
                <w:sz w:val="20"/>
              </w:rPr>
              <w:t xml:space="preserve">narrowly tailored and temporary</w:t>
            </w:r>
            <w:r>
              <w:rPr>
                <w:sz w:val="20"/>
              </w:rPr>
              <w:t xml:space="preserve">”</w:t>
            </w:r>
          </w:p>
        </w:tc>
        <w:tc>
          <w:tcPr>
            <w:tcW w:type="pct" w:w="1667"/>
          </w:tcPr>
          <w:p>
            <w:pPr>
              <w:pStyle w:val="Compact"/>
              <w:jc w:val="left"/>
            </w:pPr>
            <w:r>
              <w:rPr>
                <w:sz w:val="20"/>
              </w:rPr>
              <w:t xml:space="preserve">DOJ; no expiry or review</w:t>
            </w:r>
          </w:p>
        </w:tc>
        <w:tc>
          <w:tcPr>
            <w:tcW w:type="pct" w:w="1666"/>
          </w:tcPr>
          <w:p>
            <w:pPr>
              <w:pStyle w:val="Compact"/>
              <w:jc w:val="left"/>
            </w:pPr>
            <w:r>
              <w:rPr>
                <w:sz w:val="20"/>
              </w:rPr>
              <w:t xml:space="preserve">Not tested in the record reviewed</w:t>
            </w:r>
          </w:p>
        </w:tc>
      </w:tr>
      <w:tr>
        <w:trPr>
          <w:cantSplit/>
        </w:trPr>
        <w:tc>
          <w:tcPr>
            <w:tcW w:type="pct" w:w="1667"/>
          </w:tcPr>
          <w:p>
            <w:pPr>
              <w:pStyle w:val="Compact"/>
              <w:jc w:val="left"/>
            </w:pPr>
            <w:r>
              <w:rPr>
                <w:sz w:val="20"/>
              </w:rPr>
              <w:t xml:space="preserve">§ 2(a):</w:t>
            </w:r>
            <w:r>
              <w:rPr>
                <w:sz w:val="20"/>
              </w:rPr>
              <w:t xml:space="preserve"> </w:t>
            </w:r>
            <w:r>
              <w:rPr>
                <w:sz w:val="20"/>
              </w:rPr>
              <w:t xml:space="preserve">“</w:t>
            </w:r>
            <w:r>
              <w:rPr>
                <w:sz w:val="20"/>
              </w:rPr>
              <w:t xml:space="preserve">searchable and downloadable format</w:t>
            </w:r>
            <w:r>
              <w:rPr>
                <w:sz w:val="20"/>
              </w:rPr>
              <w:t xml:space="preserve">”</w:t>
            </w:r>
          </w:p>
        </w:tc>
        <w:tc>
          <w:tcPr>
            <w:tcW w:type="pct" w:w="1667"/>
          </w:tcPr>
          <w:p>
            <w:pPr>
              <w:pStyle w:val="Compact"/>
              <w:jc w:val="left"/>
            </w:pPr>
            <w:r>
              <w:rPr>
                <w:sz w:val="20"/>
              </w:rPr>
              <w:t xml:space="preserve">DOJ</w:t>
            </w:r>
          </w:p>
        </w:tc>
        <w:tc>
          <w:tcPr>
            <w:tcW w:type="pct" w:w="1666"/>
          </w:tcPr>
          <w:p>
            <w:pPr>
              <w:pStyle w:val="Compact"/>
              <w:jc w:val="left"/>
            </w:pPr>
            <w:r>
              <w:rPr>
                <w:sz w:val="20"/>
              </w:rPr>
              <w:t xml:space="preserve">Not assessed here against the format duty. After the project’s own text extraction nine manifest PDFs still lacked a text layer (Appendix A.2), which does not by itself show a breach</w:t>
            </w:r>
          </w:p>
        </w:tc>
      </w:tr>
      <w:tr>
        <w:trPr>
          <w:cantSplit/>
        </w:trPr>
        <w:tc>
          <w:tcPr>
            <w:tcW w:type="pct" w:w="1667"/>
          </w:tcPr>
          <w:p>
            <w:pPr>
              <w:pStyle w:val="Compact"/>
              <w:jc w:val="left"/>
            </w:pPr>
            <w:r>
              <w:rPr>
                <w:sz w:val="20"/>
              </w:rPr>
              <w:t xml:space="preserve">No enforcement, definitions, appropriations, or severability section</w:t>
            </w:r>
          </w:p>
        </w:tc>
        <w:tc>
          <w:tcPr>
            <w:tcW w:type="pct" w:w="1667"/>
          </w:tcPr>
          <w:p>
            <w:pPr>
              <w:pStyle w:val="Compact"/>
            </w:pPr>
          </w:p>
        </w:tc>
        <w:tc>
          <w:tcPr>
            <w:tcW w:type="pct" w:w="1666"/>
          </w:tcPr>
          <w:p>
            <w:pPr>
              <w:pStyle w:val="Compact"/>
              <w:jc w:val="left"/>
            </w:pPr>
            <w:r>
              <w:rPr>
                <w:sz w:val="20"/>
              </w:rPr>
              <w:t xml:space="preserve">The January 21, 2026</w:t>
            </w:r>
            <w:r>
              <w:rPr>
                <w:sz w:val="20"/>
              </w:rPr>
              <w:t xml:space="preserve"> </w:t>
            </w:r>
            <w:r>
              <w:rPr>
                <w:iCs/>
                <w:i/>
                <w:sz w:val="20"/>
              </w:rPr>
              <w:t xml:space="preserve">Maxwell</w:t>
            </w:r>
            <w:r>
              <w:rPr>
                <w:sz w:val="20"/>
              </w:rPr>
              <w:t xml:space="preserve"> </w:t>
            </w:r>
            <w:r>
              <w:rPr>
                <w:sz w:val="20"/>
              </w:rPr>
              <w:t xml:space="preserve">order (p. 4):</w:t>
            </w:r>
            <w:r>
              <w:rPr>
                <w:sz w:val="20"/>
              </w:rPr>
              <w:t xml:space="preserve"> </w:t>
            </w:r>
            <w:r>
              <w:rPr>
                <w:sz w:val="20"/>
              </w:rPr>
              <w:t xml:space="preserve">“</w:t>
            </w:r>
            <w:r>
              <w:rPr>
                <w:sz w:val="20"/>
              </w:rPr>
              <w:t xml:space="preserve">No provision of the EFTA vests this Court with that authority</w:t>
            </w:r>
            <w:r>
              <w:rPr>
                <w:sz w:val="20"/>
              </w:rPr>
              <w:t xml:space="preserve">”</w:t>
            </w:r>
          </w:p>
        </w:tc>
      </w:tr>
    </w:tbl>
    <w:p>
      <w:pPr>
        <w:pStyle w:val="BodyText"/>
      </w:pPr>
      <w:r>
        <w:rPr>
          <w:bCs/>
          <w:b/>
        </w:rPr>
        <w:t xml:space="preserve">Table C.2. Bases for redaction or non-production that DOJ applied and § 2(c)(1) does not list</w:t>
      </w:r>
      <w:r>
        <w:rPr>
          <w:rStyle w:val="FootnoteReference"/>
        </w:rPr>
        <w:footnoteReference w:id="206"/>
      </w:r>
    </w:p>
    <w:tbl>
      <w:tblPr>
        <w:tblStyle w:val="Table"/>
        <w:tblW w:type="pct" w:w="5000"/>
        <w:tblLook w:firstRow="1" w:lastRow="0" w:firstColumn="0" w:lastColumn="0" w:noHBand="0" w:noVBand="0" w:val="0020"/>
        <w:jc w:val="start"/>
        <w:tblLayout w:type="autofit"/>
      </w:tblPr>
      <w:tblGrid>
        <w:gridCol w:w="2640"/>
        <w:gridCol w:w="2640"/>
        <w:gridCol w:w="2640"/>
      </w:tblGrid>
      <w:tr>
        <w:trPr>
          <w:tblHeader w:val="true"/>
          <w:cantSplit/>
        </w:trPr>
        <w:tc>
          <w:tcPr>
            <w:tcW w:type="pct" w:w="1667"/>
          </w:tcPr>
          <w:p>
            <w:pPr>
              <w:pStyle w:val="Compact"/>
              <w:jc w:val="left"/>
            </w:pPr>
            <w:r>
              <w:rPr>
                <w:b/>
                <w:sz w:val="20"/>
              </w:rPr>
              <w:t xml:space="preserve">Basis</w:t>
            </w:r>
          </w:p>
        </w:tc>
        <w:tc>
          <w:tcPr>
            <w:tcW w:type="pct" w:w="1667"/>
          </w:tcPr>
          <w:p>
            <w:pPr>
              <w:pStyle w:val="Compact"/>
              <w:jc w:val="left"/>
            </w:pPr>
            <w:r>
              <w:rPr>
                <w:b/>
                <w:sz w:val="20"/>
              </w:rPr>
              <w:t xml:space="preserve">Primary source</w:t>
            </w:r>
          </w:p>
        </w:tc>
        <w:tc>
          <w:tcPr>
            <w:tcW w:type="pct" w:w="1666"/>
          </w:tcPr>
          <w:p>
            <w:pPr>
              <w:pStyle w:val="Compact"/>
              <w:jc w:val="left"/>
            </w:pPr>
            <w:r>
              <w:rPr>
                <w:b/>
                <w:sz w:val="20"/>
              </w:rPr>
              <w:t xml:space="preserve">Status</w:t>
            </w:r>
          </w:p>
        </w:tc>
      </w:tr>
      <w:tr>
        <w:trPr>
          <w:cantSplit/>
        </w:trPr>
        <w:tc>
          <w:tcPr>
            <w:tcW w:type="pct" w:w="1667"/>
          </w:tcPr>
          <w:p>
            <w:pPr>
              <w:pStyle w:val="Compact"/>
              <w:jc w:val="left"/>
            </w:pPr>
            <w:r>
              <w:rPr>
                <w:sz w:val="20"/>
              </w:rPr>
              <w:t xml:space="preserve">Deliberative-process, work-product, and attorney-client privileges</w:t>
            </w:r>
          </w:p>
        </w:tc>
        <w:tc>
          <w:tcPr>
            <w:tcW w:type="pct" w:w="1667"/>
          </w:tcPr>
          <w:p>
            <w:pPr>
              <w:pStyle w:val="Compact"/>
              <w:jc w:val="left"/>
            </w:pPr>
            <w:r>
              <w:rPr>
                <w:sz w:val="20"/>
              </w:rPr>
              <w:t xml:space="preserve">Section 3 Report, pp. 2–3; Letter #1, pp. 2–3; Letter #2, p. 4 (approximately 200,000 pages)</w:t>
            </w:r>
          </w:p>
        </w:tc>
        <w:tc>
          <w:tcPr>
            <w:tcW w:type="pct" w:w="1666"/>
          </w:tcPr>
          <w:p>
            <w:pPr>
              <w:pStyle w:val="Compact"/>
              <w:jc w:val="left"/>
            </w:pPr>
            <w:r>
              <w:rPr>
                <w:sz w:val="20"/>
              </w:rPr>
              <w:t xml:space="preserve">Contested; not adjudicated</w:t>
            </w:r>
          </w:p>
        </w:tc>
      </w:tr>
      <w:tr>
        <w:trPr>
          <w:cantSplit/>
        </w:trPr>
        <w:tc>
          <w:tcPr>
            <w:tcW w:type="pct" w:w="1667"/>
          </w:tcPr>
          <w:p>
            <w:pPr>
              <w:pStyle w:val="Compact"/>
              <w:jc w:val="left"/>
            </w:pPr>
            <w:r>
              <w:rPr>
                <w:sz w:val="20"/>
              </w:rPr>
              <w:t xml:space="preserve">Privacy Act</w:t>
            </w:r>
          </w:p>
        </w:tc>
        <w:tc>
          <w:tcPr>
            <w:tcW w:type="pct" w:w="1667"/>
          </w:tcPr>
          <w:p>
            <w:pPr>
              <w:pStyle w:val="Compact"/>
              <w:jc w:val="left"/>
            </w:pPr>
            <w:r>
              <w:rPr>
                <w:sz w:val="20"/>
              </w:rPr>
              <w:t xml:space="preserve">Letter #1, p. 2 (</w:t>
            </w:r>
            <w:r>
              <w:rPr>
                <w:sz w:val="20"/>
              </w:rPr>
              <w:t xml:space="preserve">“</w:t>
            </w:r>
            <w:r>
              <w:rPr>
                <w:sz w:val="20"/>
              </w:rPr>
              <w:t xml:space="preserve">as allowed under the Act and other applicable law. See Sec. 2(c)(1); see also 5 U.S.C. § 552a</w:t>
            </w:r>
            <w:r>
              <w:rPr>
                <w:sz w:val="20"/>
              </w:rPr>
              <w:t xml:space="preserve">”</w:t>
            </w:r>
            <w:r>
              <w:rPr>
                <w:sz w:val="20"/>
              </w:rPr>
              <w:t xml:space="preserve">); the review protocol as described in ECF 43, pp. 4, 10</w:t>
            </w:r>
          </w:p>
        </w:tc>
        <w:tc>
          <w:tcPr>
            <w:tcW w:type="pct" w:w="1666"/>
          </w:tcPr>
          <w:p>
            <w:pPr>
              <w:pStyle w:val="Compact"/>
              <w:jc w:val="left"/>
            </w:pPr>
            <w:r>
              <w:rPr>
                <w:sz w:val="20"/>
              </w:rPr>
              <w:t xml:space="preserve">Reserved:</w:t>
            </w:r>
            <w:r>
              <w:rPr>
                <w:sz w:val="20"/>
              </w:rPr>
              <w:t xml:space="preserve"> </w:t>
            </w:r>
            <w:r>
              <w:rPr>
                <w:sz w:val="20"/>
              </w:rPr>
              <w:t xml:space="preserve">“</w:t>
            </w:r>
            <w:r>
              <w:rPr>
                <w:sz w:val="20"/>
              </w:rPr>
              <w:t xml:space="preserve">Whether the EFTA permits Defendant to redact information pursuant to the Privacy Act is not presently before the Court</w:t>
            </w:r>
            <w:r>
              <w:rPr>
                <w:sz w:val="20"/>
              </w:rPr>
              <w:t xml:space="preserve">”</w:t>
            </w:r>
            <w:r>
              <w:rPr>
                <w:sz w:val="20"/>
              </w:rPr>
              <w:t xml:space="preserve"> </w:t>
            </w:r>
            <w:r>
              <w:rPr>
                <w:sz w:val="20"/>
              </w:rPr>
              <w:t xml:space="preserve">(ECF 43, p. 10)</w:t>
            </w:r>
          </w:p>
        </w:tc>
      </w:tr>
      <w:tr>
        <w:trPr>
          <w:cantSplit/>
        </w:trPr>
        <w:tc>
          <w:tcPr>
            <w:tcW w:type="pct" w:w="1667"/>
          </w:tcPr>
          <w:p>
            <w:pPr>
              <w:pStyle w:val="Compact"/>
              <w:jc w:val="left"/>
            </w:pPr>
            <w:r>
              <w:rPr>
                <w:sz w:val="20"/>
              </w:rPr>
              <w:t xml:space="preserve">Names and email addresses of government personnel</w:t>
            </w:r>
          </w:p>
        </w:tc>
        <w:tc>
          <w:tcPr>
            <w:tcW w:type="pct" w:w="1667"/>
          </w:tcPr>
          <w:p>
            <w:pPr>
              <w:pStyle w:val="Compact"/>
              <w:jc w:val="left"/>
            </w:pPr>
            <w:r>
              <w:rPr>
                <w:sz w:val="20"/>
              </w:rPr>
              <w:t xml:space="preserve">The review protocol as described in ECF 43, p. 12; the March 21, 2025 training gave the same rule for personnel names (EFTA00172446, p. 5)</w:t>
            </w:r>
          </w:p>
        </w:tc>
        <w:tc>
          <w:tcPr>
            <w:tcW w:type="pct" w:w="1666"/>
          </w:tcPr>
          <w:p>
            <w:pPr>
              <w:pStyle w:val="Compact"/>
              <w:jc w:val="left"/>
            </w:pPr>
            <w:r>
              <w:rPr>
                <w:sz w:val="20"/>
              </w:rPr>
              <w:t xml:space="preserve">Show cause discharged, with no ruling on the statutory basis</w:t>
            </w:r>
          </w:p>
        </w:tc>
      </w:tr>
      <w:tr>
        <w:trPr>
          <w:cantSplit/>
        </w:trPr>
        <w:tc>
          <w:tcPr>
            <w:tcW w:type="pct" w:w="1667"/>
          </w:tcPr>
          <w:p>
            <w:pPr>
              <w:pStyle w:val="Compact"/>
              <w:jc w:val="left"/>
            </w:pPr>
            <w:r>
              <w:rPr>
                <w:sz w:val="20"/>
              </w:rPr>
              <w:t xml:space="preserve">“</w:t>
            </w:r>
            <w:r>
              <w:rPr>
                <w:sz w:val="20"/>
              </w:rPr>
              <w:t xml:space="preserve">Law-enforcement sensitive purposes</w:t>
            </w:r>
            <w:r>
              <w:rPr>
                <w:sz w:val="20"/>
              </w:rPr>
              <w:t xml:space="preserve">”</w:t>
            </w:r>
          </w:p>
        </w:tc>
        <w:tc>
          <w:tcPr>
            <w:tcW w:type="pct" w:w="1667"/>
          </w:tcPr>
          <w:p>
            <w:pPr>
              <w:pStyle w:val="Compact"/>
              <w:jc w:val="left"/>
            </w:pPr>
            <w:r>
              <w:rPr>
                <w:sz w:val="20"/>
              </w:rPr>
              <w:t xml:space="preserve">Section 3 Report, p. 4 n.2</w:t>
            </w:r>
          </w:p>
        </w:tc>
        <w:tc>
          <w:tcPr>
            <w:tcW w:type="pct" w:w="1666"/>
          </w:tcPr>
          <w:p>
            <w:pPr>
              <w:pStyle w:val="Compact"/>
              <w:jc w:val="left"/>
            </w:pPr>
            <w:r>
              <w:rPr>
                <w:sz w:val="20"/>
              </w:rPr>
              <w:t xml:space="preserve">Not adjudicated</w:t>
            </w:r>
          </w:p>
        </w:tc>
      </w:tr>
      <w:tr>
        <w:trPr>
          <w:cantSplit/>
        </w:trPr>
        <w:tc>
          <w:tcPr>
            <w:tcW w:type="pct" w:w="1667"/>
          </w:tcPr>
          <w:p>
            <w:pPr>
              <w:pStyle w:val="Compact"/>
              <w:jc w:val="left"/>
            </w:pPr>
            <w:r>
              <w:rPr>
                <w:sz w:val="20"/>
              </w:rPr>
              <w:t xml:space="preserve">“</w:t>
            </w:r>
            <w:r>
              <w:rPr>
                <w:sz w:val="20"/>
              </w:rPr>
              <w:t xml:space="preserve">Information the withholding of which is allowed under other applicable law</w:t>
            </w:r>
            <w:r>
              <w:rPr>
                <w:sz w:val="20"/>
              </w:rPr>
              <w:t xml:space="preserve">”</w:t>
            </w:r>
          </w:p>
        </w:tc>
        <w:tc>
          <w:tcPr>
            <w:tcW w:type="pct" w:w="1667"/>
          </w:tcPr>
          <w:p>
            <w:pPr>
              <w:pStyle w:val="Compact"/>
              <w:jc w:val="left"/>
            </w:pPr>
            <w:r>
              <w:rPr>
                <w:sz w:val="20"/>
              </w:rPr>
              <w:t xml:space="preserve">Office of Information Policy crosswalk, p. 1, which lists this ground, citing the Privacy Act, in its column headed</w:t>
            </w:r>
            <w:r>
              <w:rPr>
                <w:sz w:val="20"/>
              </w:rPr>
              <w:t xml:space="preserve"> </w:t>
            </w:r>
            <w:r>
              <w:rPr>
                <w:sz w:val="20"/>
              </w:rPr>
              <w:t xml:space="preserve">“</w:t>
            </w:r>
            <w:r>
              <w:rPr>
                <w:sz w:val="20"/>
              </w:rPr>
              <w:t xml:space="preserve">EFTA Exemption(s)</w:t>
            </w:r>
            <w:r>
              <w:rPr>
                <w:sz w:val="20"/>
              </w:rPr>
              <w:t xml:space="preserve">”</w:t>
            </w:r>
            <w:r>
              <w:rPr>
                <w:sz w:val="20"/>
              </w:rPr>
              <w:t xml:space="preserve"> </w:t>
            </w:r>
            <w:r>
              <w:rPr>
                <w:sz w:val="20"/>
              </w:rPr>
              <w:t xml:space="preserve">and lists, under FOIA Exemption 3, the Bank Secrecy Act (31 U.S.C. § 5319), the Pen Register Act (18 U.S.C. § 3123(d)), 18 U.S.C. § 3509(d), section 6103 of the Internal Revenue Code, and Rule 6(e)</w:t>
            </w:r>
          </w:p>
        </w:tc>
        <w:tc>
          <w:tcPr>
            <w:tcW w:type="pct" w:w="1666"/>
          </w:tcPr>
          <w:p>
            <w:pPr>
              <w:pStyle w:val="Compact"/>
              <w:jc w:val="left"/>
            </w:pPr>
            <w:r>
              <w:rPr>
                <w:sz w:val="20"/>
              </w:rPr>
              <w:t xml:space="preserve">Not adjudicated; the Rule 6(e) entry sits beside the December 9</w:t>
            </w:r>
            <w:r>
              <w:rPr>
                <w:sz w:val="20"/>
              </w:rPr>
              <w:t xml:space="preserve"> </w:t>
            </w:r>
            <w:r>
              <w:rPr>
                <w:iCs/>
                <w:i/>
                <w:sz w:val="20"/>
              </w:rPr>
              <w:t xml:space="preserve">Maxwell</w:t>
            </w:r>
            <w:r>
              <w:rPr>
                <w:sz w:val="20"/>
              </w:rPr>
              <w:t xml:space="preserve"> </w:t>
            </w:r>
            <w:r>
              <w:rPr>
                <w:sz w:val="20"/>
              </w:rPr>
              <w:t xml:space="preserve">holding</w:t>
            </w:r>
          </w:p>
        </w:tc>
      </w:tr>
      <w:tr>
        <w:trPr>
          <w:cantSplit/>
        </w:trPr>
        <w:tc>
          <w:tcPr>
            <w:tcW w:type="pct" w:w="1667"/>
          </w:tcPr>
          <w:p>
            <w:pPr>
              <w:pStyle w:val="Compact"/>
              <w:jc w:val="left"/>
            </w:pPr>
            <w:r>
              <w:rPr>
                <w:sz w:val="20"/>
              </w:rPr>
              <w:t xml:space="preserve">“</w:t>
            </w:r>
            <w:r>
              <w:rPr>
                <w:sz w:val="20"/>
              </w:rPr>
              <w:t xml:space="preserve">Substantially similar</w:t>
            </w:r>
            <w:r>
              <w:rPr>
                <w:sz w:val="20"/>
              </w:rPr>
              <w:t xml:space="preserve">”</w:t>
            </w:r>
            <w:r>
              <w:rPr>
                <w:sz w:val="20"/>
              </w:rPr>
              <w:t xml:space="preserve"> </w:t>
            </w:r>
            <w:r>
              <w:rPr>
                <w:sz w:val="20"/>
              </w:rPr>
              <w:t xml:space="preserve">or duplicative records</w:t>
            </w:r>
          </w:p>
        </w:tc>
        <w:tc>
          <w:tcPr>
            <w:tcW w:type="pct" w:w="1667"/>
          </w:tcPr>
          <w:p>
            <w:pPr>
              <w:pStyle w:val="Compact"/>
              <w:jc w:val="left"/>
            </w:pPr>
            <w:r>
              <w:rPr>
                <w:sz w:val="20"/>
              </w:rPr>
              <w:t xml:space="preserve">DOJ’s response as recounted in ECF 43, p. 5</w:t>
            </w:r>
          </w:p>
        </w:tc>
        <w:tc>
          <w:tcPr>
            <w:tcW w:type="pct" w:w="1666"/>
          </w:tcPr>
          <w:p>
            <w:pPr>
              <w:pStyle w:val="Compact"/>
              <w:jc w:val="left"/>
            </w:pPr>
            <w:r>
              <w:rPr>
                <w:sz w:val="20"/>
              </w:rPr>
              <w:t xml:space="preserve">Rejected (ECF 43, p. 12)</w:t>
            </w:r>
          </w:p>
        </w:tc>
      </w:tr>
      <w:tr>
        <w:trPr>
          <w:cantSplit/>
        </w:trPr>
        <w:tc>
          <w:tcPr>
            <w:tcW w:type="pct" w:w="1667"/>
          </w:tcPr>
          <w:p>
            <w:pPr>
              <w:pStyle w:val="Compact"/>
              <w:jc w:val="left"/>
            </w:pPr>
            <w:r>
              <w:rPr>
                <w:sz w:val="20"/>
              </w:rPr>
              <w:t xml:space="preserve">Foreign-language records</w:t>
            </w:r>
          </w:p>
        </w:tc>
        <w:tc>
          <w:tcPr>
            <w:tcW w:type="pct" w:w="1667"/>
          </w:tcPr>
          <w:p>
            <w:pPr>
              <w:pStyle w:val="Compact"/>
              <w:jc w:val="left"/>
            </w:pPr>
            <w:r>
              <w:rPr>
                <w:sz w:val="20"/>
              </w:rPr>
              <w:t xml:space="preserve">Letter #2, p. 5; ECF 43, pp. 5, 14–16</w:t>
            </w:r>
          </w:p>
        </w:tc>
        <w:tc>
          <w:tcPr>
            <w:tcW w:type="pct" w:w="1666"/>
          </w:tcPr>
          <w:p>
            <w:pPr>
              <w:pStyle w:val="Compact"/>
              <w:jc w:val="left"/>
            </w:pPr>
            <w:r>
              <w:rPr>
                <w:sz w:val="20"/>
              </w:rPr>
              <w:t xml:space="preserve">Rationale held</w:t>
            </w:r>
            <w:r>
              <w:rPr>
                <w:sz w:val="20"/>
              </w:rPr>
              <w:t xml:space="preserve"> </w:t>
            </w:r>
            <w:r>
              <w:rPr>
                <w:sz w:val="20"/>
              </w:rPr>
              <w:t xml:space="preserve">“</w:t>
            </w:r>
            <w:r>
              <w:rPr>
                <w:sz w:val="20"/>
              </w:rPr>
              <w:t xml:space="preserve">without merit</w:t>
            </w:r>
            <w:r>
              <w:rPr>
                <w:sz w:val="20"/>
              </w:rPr>
              <w:t xml:space="preserve">”</w:t>
            </w:r>
          </w:p>
        </w:tc>
      </w:tr>
      <w:tr>
        <w:trPr>
          <w:cantSplit/>
        </w:trPr>
        <w:tc>
          <w:tcPr>
            <w:tcW w:type="pct" w:w="1667"/>
          </w:tcPr>
          <w:p>
            <w:pPr>
              <w:pStyle w:val="Compact"/>
              <w:jc w:val="left"/>
            </w:pPr>
            <w:r>
              <w:rPr>
                <w:sz w:val="20"/>
              </w:rPr>
              <w:t xml:space="preserve">Technically incompatible files</w:t>
            </w:r>
          </w:p>
        </w:tc>
        <w:tc>
          <w:tcPr>
            <w:tcW w:type="pct" w:w="1667"/>
          </w:tcPr>
          <w:p>
            <w:pPr>
              <w:pStyle w:val="Compact"/>
              <w:jc w:val="left"/>
            </w:pPr>
            <w:r>
              <w:rPr>
                <w:sz w:val="20"/>
              </w:rPr>
              <w:t xml:space="preserve">Letter #2, p. 5</w:t>
            </w:r>
          </w:p>
        </w:tc>
        <w:tc>
          <w:tcPr>
            <w:tcW w:type="pct" w:w="1666"/>
          </w:tcPr>
          <w:p>
            <w:pPr>
              <w:pStyle w:val="Compact"/>
              <w:jc w:val="left"/>
            </w:pPr>
            <w:r>
              <w:rPr>
                <w:sz w:val="20"/>
              </w:rPr>
              <w:t xml:space="preserve">Not adjudicated</w:t>
            </w:r>
          </w:p>
        </w:tc>
      </w:tr>
    </w:tbl>
    <w:p>
      <w:pPr>
        <w:pStyle w:val="BodyText"/>
      </w:pPr>
      <w:r>
        <w:rPr>
          <w:bCs/>
          <w:b/>
        </w:rPr>
        <w:t xml:space="preserve">Table C.3. Congress’s routes for enforcing a subpoena against an executive officer</w:t>
      </w:r>
      <w:r>
        <w:rPr>
          <w:rStyle w:val="FootnoteReference"/>
        </w:rPr>
        <w:footnoteReference w:id="207"/>
      </w:r>
    </w:p>
    <w:tbl>
      <w:tblPr>
        <w:tblStyle w:val="Table"/>
        <w:tblW w:type="pct" w:w="5000"/>
        <w:tblLook w:firstRow="1" w:lastRow="0" w:firstColumn="0" w:lastColumn="0" w:noHBand="0" w:noVBand="0" w:val="0020"/>
        <w:jc w:val="start"/>
        <w:tblLayout w:type="autofit"/>
      </w:tblPr>
      <w:tblGrid>
        <w:gridCol w:w="1980"/>
        <w:gridCol w:w="1980"/>
        <w:gridCol w:w="1980"/>
        <w:gridCol w:w="1980"/>
      </w:tblGrid>
      <w:tr>
        <w:trPr>
          <w:tblHeader w:val="true"/>
          <w:cantSplit/>
        </w:trPr>
        <w:tc>
          <w:tcPr>
            <w:tcW w:type="pct" w:w="1250"/>
          </w:tcPr>
          <w:p>
            <w:pPr>
              <w:pStyle w:val="Compact"/>
              <w:jc w:val="left"/>
            </w:pPr>
            <w:r>
              <w:rPr>
                <w:b/>
                <w:sz w:val="20"/>
              </w:rPr>
              <w:t xml:space="preserve">Route</w:t>
            </w:r>
          </w:p>
        </w:tc>
        <w:tc>
          <w:tcPr>
            <w:tcW w:type="pct" w:w="1250"/>
          </w:tcPr>
          <w:p>
            <w:pPr>
              <w:pStyle w:val="Compact"/>
              <w:jc w:val="left"/>
            </w:pPr>
            <w:r>
              <w:rPr>
                <w:b/>
                <w:sz w:val="20"/>
              </w:rPr>
              <w:t xml:space="preserve">Authority</w:t>
            </w:r>
          </w:p>
        </w:tc>
        <w:tc>
          <w:tcPr>
            <w:tcW w:type="pct" w:w="1250"/>
          </w:tcPr>
          <w:p>
            <w:pPr>
              <w:pStyle w:val="Compact"/>
              <w:jc w:val="left"/>
            </w:pPr>
            <w:r>
              <w:rPr>
                <w:b/>
                <w:sz w:val="20"/>
              </w:rPr>
              <w:t xml:space="preserve">Dependence</w:t>
            </w:r>
          </w:p>
        </w:tc>
        <w:tc>
          <w:tcPr>
            <w:tcW w:type="pct" w:w="1250"/>
          </w:tcPr>
          <w:p>
            <w:pPr>
              <w:pStyle w:val="Compact"/>
              <w:jc w:val="left"/>
            </w:pPr>
            <w:r>
              <w:rPr>
                <w:b/>
                <w:sz w:val="20"/>
              </w:rPr>
              <w:t xml:space="preserve">Status</w:t>
            </w:r>
          </w:p>
        </w:tc>
      </w:tr>
      <w:tr>
        <w:trPr>
          <w:cantSplit/>
        </w:trPr>
        <w:tc>
          <w:tcPr>
            <w:tcW w:type="pct" w:w="1250"/>
          </w:tcPr>
          <w:p>
            <w:pPr>
              <w:pStyle w:val="Compact"/>
              <w:jc w:val="left"/>
            </w:pPr>
            <w:r>
              <w:rPr>
                <w:sz w:val="20"/>
              </w:rPr>
              <w:t xml:space="preserve">Criminal contempt</w:t>
            </w:r>
          </w:p>
        </w:tc>
        <w:tc>
          <w:tcPr>
            <w:tcW w:type="pct" w:w="1250"/>
          </w:tcPr>
          <w:p>
            <w:pPr>
              <w:pStyle w:val="Compact"/>
              <w:jc w:val="left"/>
            </w:pPr>
            <w:r>
              <w:rPr>
                <w:sz w:val="20"/>
              </w:rPr>
              <w:t xml:space="preserve">2 U.S.C. §§ 192, 194</w:t>
            </w:r>
          </w:p>
        </w:tc>
        <w:tc>
          <w:tcPr>
            <w:tcW w:type="pct" w:w="1250"/>
          </w:tcPr>
          <w:p>
            <w:pPr>
              <w:pStyle w:val="Compact"/>
              <w:jc w:val="left"/>
            </w:pPr>
            <w:r>
              <w:rPr>
                <w:sz w:val="20"/>
              </w:rPr>
              <w:t xml:space="preserve">The certified contempt goes to</w:t>
            </w:r>
            <w:r>
              <w:rPr>
                <w:sz w:val="20"/>
              </w:rPr>
              <w:t xml:space="preserve"> </w:t>
            </w:r>
            <w:r>
              <w:rPr>
                <w:sz w:val="20"/>
              </w:rPr>
              <w:t xml:space="preserve">“</w:t>
            </w:r>
            <w:r>
              <w:rPr>
                <w:sz w:val="20"/>
              </w:rPr>
              <w:t xml:space="preserve">the appropriate United States attorney, whose duty it shall be to bring the matter before the grand jury</w:t>
            </w:r>
            <w:r>
              <w:rPr>
                <w:sz w:val="20"/>
              </w:rPr>
              <w:t xml:space="preserve">”</w:t>
            </w:r>
          </w:p>
        </w:tc>
        <w:tc>
          <w:tcPr>
            <w:tcW w:type="pct" w:w="1250"/>
          </w:tcPr>
          <w:p>
            <w:pPr>
              <w:pStyle w:val="Compact"/>
              <w:jc w:val="left"/>
            </w:pPr>
            <w:r>
              <w:rPr>
                <w:sz w:val="20"/>
              </w:rPr>
              <w:t xml:space="preserve">The Office of Legal Counsel concluded in 1984 that a United States Attorney is not required to refer a contempt citation to a grand jury or otherwise to prosecute an executive official carrying out the President’s instruction</w:t>
            </w:r>
            <w:r>
              <w:rPr>
                <w:sz w:val="20"/>
              </w:rPr>
              <w:t xml:space="preserve"> </w:t>
            </w:r>
            <w:r>
              <w:rPr>
                <w:sz w:val="20"/>
              </w:rPr>
              <w:t xml:space="preserve">“</w:t>
            </w:r>
            <w:r>
              <w:rPr>
                <w:sz w:val="20"/>
              </w:rPr>
              <w:t xml:space="preserve">in a factual context such as that presented by the December 16, 1982, contempt citation,</w:t>
            </w:r>
            <w:r>
              <w:rPr>
                <w:sz w:val="20"/>
              </w:rPr>
              <w:t xml:space="preserve">”</w:t>
            </w:r>
            <w:r>
              <w:rPr>
                <w:sz w:val="20"/>
              </w:rPr>
              <w:t xml:space="preserve"> </w:t>
            </w:r>
            <w:r>
              <w:rPr>
                <w:sz w:val="20"/>
              </w:rPr>
              <w:t xml:space="preserve">and limited its conclusions to those circumstances; its 2024 opinion states the conclusion generally, as</w:t>
            </w:r>
            <w:r>
              <w:rPr>
                <w:sz w:val="20"/>
              </w:rPr>
              <w:t xml:space="preserve"> </w:t>
            </w:r>
            <w:r>
              <w:rPr>
                <w:sz w:val="20"/>
              </w:rPr>
              <w:t xml:space="preserve">“</w:t>
            </w:r>
            <w:r>
              <w:rPr>
                <w:sz w:val="20"/>
              </w:rPr>
              <w:t xml:space="preserve">longstanding Executive Branch precedent.</w:t>
            </w:r>
            <w:r>
              <w:rPr>
                <w:sz w:val="20"/>
              </w:rPr>
              <w:t xml:space="preserve">”</w:t>
            </w:r>
            <w:r>
              <w:rPr>
                <w:sz w:val="20"/>
              </w:rPr>
              <w:t xml:space="preserve"> </w:t>
            </w:r>
            <w:r>
              <w:rPr>
                <w:sz w:val="20"/>
              </w:rPr>
              <w:t xml:space="preserve">The Department declined to act on the 2012 citation of Attorney General Holder and the 2024 citation of Attorney General Garland, each after a presidential privilege assertion; it prosecuted Peter Navarro, a former official for whom the courts found no invocation of privilege, and the D.C. Circuit affirmed his conviction on July 21, 2026, after the Department, under a new administration, withdrew from the appeal</w:t>
            </w:r>
          </w:p>
        </w:tc>
      </w:tr>
      <w:tr>
        <w:trPr>
          <w:cantSplit/>
        </w:trPr>
        <w:tc>
          <w:tcPr>
            <w:tcW w:type="pct" w:w="1250"/>
          </w:tcPr>
          <w:p>
            <w:pPr>
              <w:pStyle w:val="Compact"/>
              <w:jc w:val="left"/>
            </w:pPr>
            <w:r>
              <w:rPr>
                <w:sz w:val="20"/>
              </w:rPr>
              <w:t xml:space="preserve">Inherent contempt</w:t>
            </w:r>
          </w:p>
        </w:tc>
        <w:tc>
          <w:tcPr>
            <w:tcW w:type="pct" w:w="1250"/>
          </w:tcPr>
          <w:p>
            <w:pPr>
              <w:pStyle w:val="Compact"/>
              <w:jc w:val="left"/>
            </w:pPr>
            <w:r>
              <w:rPr>
                <w:iCs/>
                <w:i/>
                <w:sz w:val="20"/>
              </w:rPr>
              <w:t xml:space="preserve">Anderson v. Dunn</w:t>
            </w:r>
            <w:r>
              <w:rPr>
                <w:sz w:val="20"/>
              </w:rPr>
              <w:t xml:space="preserve"> </w:t>
            </w:r>
            <w:r>
              <w:rPr>
                <w:sz w:val="20"/>
              </w:rPr>
              <w:t xml:space="preserve">(1821);</w:t>
            </w:r>
            <w:r>
              <w:rPr>
                <w:sz w:val="20"/>
              </w:rPr>
              <w:t xml:space="preserve"> </w:t>
            </w:r>
            <w:r>
              <w:rPr>
                <w:iCs/>
                <w:i/>
                <w:sz w:val="20"/>
              </w:rPr>
              <w:t xml:space="preserve">McGrain v. Daugherty</w:t>
            </w:r>
            <w:r>
              <w:rPr>
                <w:sz w:val="20"/>
              </w:rPr>
              <w:t xml:space="preserve"> </w:t>
            </w:r>
            <w:r>
              <w:rPr>
                <w:sz w:val="20"/>
              </w:rPr>
              <w:t xml:space="preserve">(1927);</w:t>
            </w:r>
            <w:r>
              <w:rPr>
                <w:sz w:val="20"/>
              </w:rPr>
              <w:t xml:space="preserve"> </w:t>
            </w:r>
            <w:r>
              <w:rPr>
                <w:iCs/>
                <w:i/>
                <w:sz w:val="20"/>
              </w:rPr>
              <w:t xml:space="preserve">Jurney v. MacCracken</w:t>
            </w:r>
            <w:r>
              <w:rPr>
                <w:sz w:val="20"/>
              </w:rPr>
              <w:t xml:space="preserve"> </w:t>
            </w:r>
            <w:r>
              <w:rPr>
                <w:sz w:val="20"/>
              </w:rPr>
              <w:t xml:space="preserve">(1935)</w:t>
            </w:r>
          </w:p>
        </w:tc>
        <w:tc>
          <w:tcPr>
            <w:tcW w:type="pct" w:w="1250"/>
          </w:tcPr>
          <w:p>
            <w:pPr>
              <w:pStyle w:val="Compact"/>
              <w:jc w:val="left"/>
            </w:pPr>
            <w:r>
              <w:rPr>
                <w:sz w:val="20"/>
              </w:rPr>
              <w:t xml:space="preserve">A majority of the House concerned, which tries and confines the contemnor itself; against an official who withholds on a presidential privilege assertion, the Office of Legal Counsel took the view in a 1984 footnote, and reaffirmed it on December 20, 2024, that Congress may not use the power</w:t>
            </w:r>
          </w:p>
        </w:tc>
        <w:tc>
          <w:tcPr>
            <w:tcW w:type="pct" w:w="1250"/>
          </w:tcPr>
          <w:p>
            <w:pPr>
              <w:pStyle w:val="Compact"/>
              <w:jc w:val="left"/>
            </w:pPr>
            <w:r>
              <w:rPr>
                <w:sz w:val="20"/>
              </w:rPr>
              <w:t xml:space="preserve">Long dormant; it does not appear that either House has used the power since the 1930s. A resolution to impose inherent-contempt fines on the Attorney General failed on the House floor on July 11, 2024, as the 2024 opinion records</w:t>
            </w:r>
          </w:p>
        </w:tc>
      </w:tr>
      <w:tr>
        <w:trPr>
          <w:cantSplit/>
        </w:trPr>
        <w:tc>
          <w:tcPr>
            <w:tcW w:type="pct" w:w="1250"/>
          </w:tcPr>
          <w:p>
            <w:pPr>
              <w:pStyle w:val="Compact"/>
              <w:jc w:val="left"/>
            </w:pPr>
            <w:r>
              <w:rPr>
                <w:sz w:val="20"/>
              </w:rPr>
              <w:t xml:space="preserve">Senate civil enforcement</w:t>
            </w:r>
          </w:p>
        </w:tc>
        <w:tc>
          <w:tcPr>
            <w:tcW w:type="pct" w:w="1250"/>
          </w:tcPr>
          <w:p>
            <w:pPr>
              <w:pStyle w:val="Compact"/>
              <w:jc w:val="left"/>
            </w:pPr>
            <w:r>
              <w:rPr>
                <w:sz w:val="20"/>
              </w:rPr>
              <w:t xml:space="preserve">28 U.S.C. § 1365(a); 2 U.S.C. §§ 288b(b), 288d(a)</w:t>
            </w:r>
          </w:p>
        </w:tc>
        <w:tc>
          <w:tcPr>
            <w:tcW w:type="pct" w:w="1250"/>
          </w:tcPr>
          <w:p>
            <w:pPr>
              <w:pStyle w:val="Compact"/>
              <w:jc w:val="left"/>
            </w:pPr>
            <w:r>
              <w:rPr>
                <w:sz w:val="20"/>
              </w:rPr>
              <w:t xml:space="preserve">A Senate resolution directing Senate Legal Counsel to sue (2 U.S.C. § 288b(b)); the resolution is ordinarily debatable and exposed to a filibuster; if opponents sustain debate, cloture requires three-fifths of the Senators duly chosen and sworn (Senate Rule XXII), unless an applicable expedited procedure limits debate, and one directing suit in a committee’s name must first be reported by that committee with four statements (§ 288d(c))</w:t>
            </w:r>
          </w:p>
        </w:tc>
        <w:tc>
          <w:tcPr>
            <w:tcW w:type="pct" w:w="1250"/>
          </w:tcPr>
          <w:p>
            <w:pPr>
              <w:pStyle w:val="Compact"/>
              <w:jc w:val="left"/>
            </w:pPr>
            <w:r>
              <w:rPr>
                <w:sz w:val="20"/>
              </w:rPr>
              <w:t xml:space="preserve">By its terms § 1365 does not apply to a subpoena to an executive-branch officer or employee acting in an official capacity, unless the refusal rests on a personal privilege or objection and not on a governmental privilege. Senate Legal Counsel may sue</w:t>
            </w:r>
            <w:r>
              <w:rPr>
                <w:sz w:val="20"/>
              </w:rPr>
              <w:t xml:space="preserve"> </w:t>
            </w:r>
            <w:r>
              <w:rPr>
                <w:sz w:val="20"/>
              </w:rPr>
              <w:t xml:space="preserve">“</w:t>
            </w:r>
            <w:r>
              <w:rPr>
                <w:sz w:val="20"/>
              </w:rPr>
              <w:t xml:space="preserve">under any statute conferring jurisdiction</w:t>
            </w:r>
            <w:r>
              <w:rPr>
                <w:sz w:val="20"/>
              </w:rPr>
              <w:t xml:space="preserve">”</w:t>
            </w:r>
            <w:r>
              <w:rPr>
                <w:sz w:val="20"/>
              </w:rPr>
              <w:t xml:space="preserve"> </w:t>
            </w:r>
            <w:r>
              <w:rPr>
                <w:sz w:val="20"/>
              </w:rPr>
              <w:t xml:space="preserve">(2 U.S.C. § 288d(a)); whether a suit on another jurisdictional basis could reach an official-capacity executive subpoena is untested</w:t>
            </w:r>
          </w:p>
        </w:tc>
      </w:tr>
      <w:tr>
        <w:trPr>
          <w:cantSplit/>
        </w:trPr>
        <w:tc>
          <w:tcPr>
            <w:tcW w:type="pct" w:w="1250"/>
          </w:tcPr>
          <w:p>
            <w:pPr>
              <w:pStyle w:val="Compact"/>
              <w:jc w:val="left"/>
            </w:pPr>
            <w:r>
              <w:rPr>
                <w:sz w:val="20"/>
              </w:rPr>
              <w:t xml:space="preserve">House civil enforcement</w:t>
            </w:r>
          </w:p>
        </w:tc>
        <w:tc>
          <w:tcPr>
            <w:tcW w:type="pct" w:w="1250"/>
          </w:tcPr>
          <w:p>
            <w:pPr>
              <w:pStyle w:val="Compact"/>
              <w:jc w:val="left"/>
            </w:pPr>
            <w:r>
              <w:rPr>
                <w:sz w:val="20"/>
              </w:rPr>
              <w:t xml:space="preserve">No statute; authorization by the House (in the Lee text, a House resolution, with counsel appearing on the Speaker’s authorization after consulting the Bipartisan Legal Advisory Group; under H. Res. 430 of the 116th Congress, a committee chair</w:t>
            </w:r>
            <w:r>
              <w:rPr>
                <w:sz w:val="20"/>
              </w:rPr>
              <w:t xml:space="preserve"> </w:t>
            </w:r>
            <w:r>
              <w:rPr>
                <w:sz w:val="20"/>
              </w:rPr>
              <w:t xml:space="preserve">“</w:t>
            </w:r>
            <w:r>
              <w:rPr>
                <w:sz w:val="20"/>
              </w:rPr>
              <w:t xml:space="preserve">when authorized by the Bipartisan Legal Advisory Group</w:t>
            </w:r>
            <w:r>
              <w:rPr>
                <w:sz w:val="20"/>
              </w:rPr>
              <w:t xml:space="preserve">”</w:t>
            </w:r>
            <w:r>
              <w:rPr>
                <w:sz w:val="20"/>
              </w:rPr>
              <w:t xml:space="preserve">)</w:t>
            </w:r>
          </w:p>
        </w:tc>
        <w:tc>
          <w:tcPr>
            <w:tcW w:type="pct" w:w="1250"/>
          </w:tcPr>
          <w:p>
            <w:pPr>
              <w:pStyle w:val="Compact"/>
              <w:jc w:val="left"/>
            </w:pPr>
            <w:r>
              <w:rPr>
                <w:sz w:val="20"/>
              </w:rPr>
              <w:t xml:space="preserve">A majority-party gate at the authorization step</w:t>
            </w:r>
          </w:p>
        </w:tc>
        <w:tc>
          <w:tcPr>
            <w:tcW w:type="pct" w:w="1250"/>
          </w:tcPr>
          <w:p>
            <w:pPr>
              <w:pStyle w:val="Compact"/>
              <w:jc w:val="left"/>
            </w:pPr>
            <w:r>
              <w:rPr>
                <w:sz w:val="20"/>
              </w:rPr>
              <w:t xml:space="preserve">District courts have entertained such suits (</w:t>
            </w:r>
            <w:r>
              <w:rPr>
                <w:iCs/>
                <w:i/>
                <w:sz w:val="20"/>
              </w:rPr>
              <w:t xml:space="preserve">Miers</w:t>
            </w:r>
            <w:r>
              <w:rPr>
                <w:sz w:val="20"/>
              </w:rPr>
              <w:t xml:space="preserve">, 2008;</w:t>
            </w:r>
            <w:r>
              <w:rPr>
                <w:sz w:val="20"/>
              </w:rPr>
              <w:t xml:space="preserve"> </w:t>
            </w:r>
            <w:r>
              <w:rPr>
                <w:iCs/>
                <w:i/>
                <w:sz w:val="20"/>
              </w:rPr>
              <w:t xml:space="preserve">Holder</w:t>
            </w:r>
            <w:r>
              <w:rPr>
                <w:sz w:val="20"/>
              </w:rPr>
              <w:t xml:space="preserve">, 2013). In the Holder suit the court held in 2016 that the qualified privilege</w:t>
            </w:r>
            <w:r>
              <w:rPr>
                <w:sz w:val="20"/>
              </w:rPr>
              <w:t xml:space="preserve"> </w:t>
            </w:r>
            <w:r>
              <w:rPr>
                <w:sz w:val="20"/>
              </w:rPr>
              <w:t xml:space="preserve">“</w:t>
            </w:r>
            <w:r>
              <w:rPr>
                <w:sz w:val="20"/>
              </w:rPr>
              <w:t xml:space="preserve">invoked to shield material that the Department has already disclosed</w:t>
            </w:r>
            <w:r>
              <w:rPr>
                <w:sz w:val="20"/>
              </w:rPr>
              <w:t xml:space="preserve">”</w:t>
            </w:r>
            <w:r>
              <w:rPr>
                <w:sz w:val="20"/>
              </w:rPr>
              <w:t xml:space="preserve"> </w:t>
            </w:r>
            <w:r>
              <w:rPr>
                <w:sz w:val="20"/>
              </w:rPr>
              <w:t xml:space="preserve">was outweighed and ordered that material produced; the Department’s appellate brief, as the district court later quoted it, said the Department</w:t>
            </w:r>
            <w:r>
              <w:rPr>
                <w:sz w:val="20"/>
              </w:rPr>
              <w:t xml:space="preserve"> </w:t>
            </w:r>
            <w:r>
              <w:rPr>
                <w:sz w:val="20"/>
              </w:rPr>
              <w:t xml:space="preserve">“</w:t>
            </w:r>
            <w:r>
              <w:rPr>
                <w:sz w:val="20"/>
              </w:rPr>
              <w:t xml:space="preserve">has complied in full,</w:t>
            </w:r>
            <w:r>
              <w:rPr>
                <w:sz w:val="20"/>
              </w:rPr>
              <w:t xml:space="preserve">”</w:t>
            </w:r>
            <w:r>
              <w:rPr>
                <w:sz w:val="20"/>
              </w:rPr>
              <w:t xml:space="preserve"> </w:t>
            </w:r>
            <w:r>
              <w:rPr>
                <w:sz w:val="20"/>
              </w:rPr>
              <w:t xml:space="preserve">and in 2018 that court refused to vacate its orders as the parties’ settlement required; the Committee’s appeal was dismissed in 2019 on its unopposed motion, during settlement proceedings. The Judiciary Committee’s 2024 suit against Attorney General Garland for audio recordings of the Special Counsel’s interviews was argued in October 2024, stayed in January 2025, and dismissed by stipulation on May 21, 2025, after the recording’s public release and without a ruling. The en banc D.C. Circuit held that a House committee has standing (</w:t>
            </w:r>
            <w:r>
              <w:rPr>
                <w:iCs/>
                <w:i/>
                <w:sz w:val="20"/>
              </w:rPr>
              <w:t xml:space="preserve">McGahn</w:t>
            </w:r>
            <w:r>
              <w:rPr>
                <w:sz w:val="20"/>
              </w:rPr>
              <w:t xml:space="preserve">, 2020); a panel then held that it lacks a cause of action, and that judgment was vacated when rehearing en banc was granted on October 15, 2020. The question is unsettled; a private recipient of two subpoenas in the Oversight Committee’s Epstein investigation has asked a district court to declare that the Committee lacks any cause of action to enforce them against him (</w:t>
            </w:r>
            <w:r>
              <w:rPr>
                <w:iCs/>
                <w:i/>
                <w:sz w:val="20"/>
              </w:rPr>
              <w:t xml:space="preserve">Black</w:t>
            </w:r>
            <w:r>
              <w:rPr>
                <w:sz w:val="20"/>
              </w:rPr>
              <w:t xml:space="preserve">, filed September 3, 2026, pending)</w:t>
            </w:r>
          </w:p>
        </w:tc>
      </w:tr>
      <w:tr>
        <w:trPr>
          <w:cantSplit/>
        </w:trPr>
        <w:tc>
          <w:tcPr>
            <w:tcW w:type="pct" w:w="1250"/>
          </w:tcPr>
          <w:p>
            <w:pPr>
              <w:pStyle w:val="Compact"/>
              <w:jc w:val="left"/>
            </w:pPr>
            <w:r>
              <w:rPr>
                <w:sz w:val="20"/>
              </w:rPr>
              <w:t xml:space="preserve">House-passed statutory model</w:t>
            </w:r>
          </w:p>
        </w:tc>
        <w:tc>
          <w:tcPr>
            <w:tcW w:type="pct" w:w="1250"/>
          </w:tcPr>
          <w:p>
            <w:pPr>
              <w:pStyle w:val="Compact"/>
              <w:jc w:val="left"/>
            </w:pPr>
            <w:r>
              <w:rPr>
                <w:sz w:val="20"/>
              </w:rPr>
              <w:t xml:space="preserve">H.R. 4010, 115th Cong. (engrossed in House), proposing a new 28 U.S.C. § 1365a</w:t>
            </w:r>
          </w:p>
        </w:tc>
        <w:tc>
          <w:tcPr>
            <w:tcW w:type="pct" w:w="1250"/>
          </w:tcPr>
          <w:p>
            <w:pPr>
              <w:pStyle w:val="Compact"/>
              <w:jc w:val="left"/>
            </w:pPr>
            <w:r>
              <w:rPr>
                <w:sz w:val="20"/>
              </w:rPr>
              <w:t xml:space="preserve">Whatever authorization the underlying action requires: the bill presupposes an action</w:t>
            </w:r>
            <w:r>
              <w:rPr>
                <w:sz w:val="20"/>
              </w:rPr>
              <w:t xml:space="preserve"> </w:t>
            </w:r>
            <w:r>
              <w:rPr>
                <w:sz w:val="20"/>
              </w:rPr>
              <w:t xml:space="preserve">“</w:t>
            </w:r>
            <w:r>
              <w:rPr>
                <w:sz w:val="20"/>
              </w:rPr>
              <w:t xml:space="preserve">filed in a United States district court of competent jurisdiction</w:t>
            </w:r>
            <w:r>
              <w:rPr>
                <w:sz w:val="20"/>
              </w:rPr>
              <w:t xml:space="preserve">”</w:t>
            </w:r>
            <w:r>
              <w:rPr>
                <w:sz w:val="20"/>
              </w:rPr>
              <w:t xml:space="preserve"> </w:t>
            </w:r>
            <w:r>
              <w:rPr>
                <w:sz w:val="20"/>
              </w:rPr>
              <w:t xml:space="preserve">and supplies neither a cause of action nor jurisdiction</w:t>
            </w:r>
          </w:p>
        </w:tc>
        <w:tc>
          <w:tcPr>
            <w:tcW w:type="pct" w:w="1250"/>
          </w:tcPr>
          <w:p>
            <w:pPr>
              <w:pStyle w:val="Compact"/>
              <w:jc w:val="left"/>
            </w:pPr>
            <w:r>
              <w:rPr>
                <w:sz w:val="20"/>
              </w:rPr>
              <w:t xml:space="preserve">A docket clause to expedite</w:t>
            </w:r>
            <w:r>
              <w:rPr>
                <w:sz w:val="20"/>
              </w:rPr>
              <w:t xml:space="preserve"> </w:t>
            </w:r>
            <w:r>
              <w:rPr>
                <w:sz w:val="20"/>
              </w:rPr>
              <w:t xml:space="preserve">“</w:t>
            </w:r>
            <w:r>
              <w:rPr>
                <w:sz w:val="20"/>
              </w:rPr>
              <w:t xml:space="preserve">to the greatest possible extent</w:t>
            </w:r>
            <w:r>
              <w:rPr>
                <w:sz w:val="20"/>
              </w:rPr>
              <w:t xml:space="preserve">”</w:t>
            </w:r>
            <w:r>
              <w:rPr>
                <w:sz w:val="20"/>
              </w:rPr>
              <w:t xml:space="preserve"> </w:t>
            </w:r>
            <w:r>
              <w:rPr>
                <w:sz w:val="20"/>
              </w:rPr>
              <w:t xml:space="preserve">(hortatory) and, if the plaintiff requests it, a three-judge court reviewable only by direct appeal to the Supreme Court; monetary penalties</w:t>
            </w:r>
            <w:r>
              <w:rPr>
                <w:sz w:val="20"/>
              </w:rPr>
              <w:t xml:space="preserve"> </w:t>
            </w:r>
            <w:r>
              <w:rPr>
                <w:sz w:val="20"/>
              </w:rPr>
              <w:t xml:space="preserve">“</w:t>
            </w:r>
            <w:r>
              <w:rPr>
                <w:sz w:val="20"/>
              </w:rPr>
              <w:t xml:space="preserve">directly against the head of a Government agency</w:t>
            </w:r>
            <w:r>
              <w:rPr>
                <w:sz w:val="20"/>
              </w:rPr>
              <w:t xml:space="preserve">”</w:t>
            </w:r>
            <w:r>
              <w:rPr>
                <w:sz w:val="20"/>
              </w:rPr>
              <w:t xml:space="preserve"> </w:t>
            </w:r>
            <w:r>
              <w:rPr>
                <w:sz w:val="20"/>
              </w:rPr>
              <w:t xml:space="preserve">held to have willfully failed to comply, not payable from appropriated or other Government funds; a discretionary waiver (a privilege or other ground</w:t>
            </w:r>
            <w:r>
              <w:rPr>
                <w:sz w:val="20"/>
              </w:rPr>
              <w:t xml:space="preserve"> </w:t>
            </w:r>
            <w:r>
              <w:rPr>
                <w:sz w:val="20"/>
              </w:rPr>
              <w:t xml:space="preserve">“</w:t>
            </w:r>
            <w:r>
              <w:rPr>
                <w:sz w:val="20"/>
              </w:rPr>
              <w:t xml:space="preserve">may be determined to have been waived</w:t>
            </w:r>
            <w:r>
              <w:rPr>
                <w:sz w:val="20"/>
              </w:rPr>
              <w:t xml:space="preserve">”</w:t>
            </w:r>
            <w:r>
              <w:rPr>
                <w:sz w:val="20"/>
              </w:rPr>
              <w:t xml:space="preserve">) for a record not covered by the timely privilege log that a new section 105 of the Revised Statutes would require, reaching grounds</w:t>
            </w:r>
            <w:r>
              <w:rPr>
                <w:sz w:val="20"/>
              </w:rPr>
              <w:t xml:space="preserve"> </w:t>
            </w:r>
            <w:r>
              <w:rPr>
                <w:sz w:val="20"/>
              </w:rPr>
              <w:t xml:space="preserve">“</w:t>
            </w:r>
            <w:r>
              <w:rPr>
                <w:sz w:val="20"/>
              </w:rPr>
              <w:t xml:space="preserve">whether statutory, common law, or otherwise.</w:t>
            </w:r>
            <w:r>
              <w:rPr>
                <w:sz w:val="20"/>
              </w:rPr>
              <w:t xml:space="preserve">”</w:t>
            </w:r>
            <w:r>
              <w:rPr>
                <w:sz w:val="20"/>
              </w:rPr>
              <w:t xml:space="preserve"> </w:t>
            </w:r>
            <w:r>
              <w:rPr>
                <w:sz w:val="20"/>
              </w:rPr>
              <w:t xml:space="preserve">The bill does not amend § 1365(a), and the Code contains no § 1365a</w:t>
            </w:r>
          </w:p>
        </w:tc>
      </w:tr>
      <w:tr>
        <w:trPr>
          <w:cantSplit/>
        </w:trPr>
        <w:tc>
          <w:tcPr>
            <w:tcW w:type="pct" w:w="1250"/>
          </w:tcPr>
          <w:p>
            <w:pPr>
              <w:pStyle w:val="Compact"/>
              <w:jc w:val="left"/>
            </w:pPr>
            <w:r>
              <w:rPr>
                <w:sz w:val="20"/>
              </w:rPr>
              <w:t xml:space="preserve">Member-level suit</w:t>
            </w:r>
          </w:p>
        </w:tc>
        <w:tc>
          <w:tcPr>
            <w:tcW w:type="pct" w:w="1250"/>
          </w:tcPr>
          <w:p>
            <w:pPr>
              <w:pStyle w:val="Compact"/>
              <w:jc w:val="left"/>
            </w:pPr>
            <w:r>
              <w:rPr>
                <w:sz w:val="20"/>
              </w:rPr>
              <w:t xml:space="preserve">None</w:t>
            </w:r>
          </w:p>
        </w:tc>
        <w:tc>
          <w:tcPr>
            <w:tcW w:type="pct" w:w="1250"/>
          </w:tcPr>
          <w:p>
            <w:pPr>
              <w:pStyle w:val="Compact"/>
              <w:jc w:val="left"/>
            </w:pPr>
            <w:r>
              <w:rPr>
                <w:sz w:val="20"/>
              </w:rPr>
              <w:t xml:space="preserve">A court; no chamber vote</w:t>
            </w:r>
          </w:p>
        </w:tc>
        <w:tc>
          <w:tcPr>
            <w:tcW w:type="pct" w:w="1250"/>
          </w:tcPr>
          <w:p>
            <w:pPr>
              <w:pStyle w:val="Compact"/>
              <w:jc w:val="left"/>
            </w:pPr>
            <w:r>
              <w:rPr>
                <w:sz w:val="20"/>
              </w:rPr>
              <w:t xml:space="preserve">Individual members lack standing to sue over an institutional injury (</w:t>
            </w:r>
            <w:r>
              <w:rPr>
                <w:iCs/>
                <w:i/>
                <w:sz w:val="20"/>
              </w:rPr>
              <w:t xml:space="preserve">Raines v. Byrd</w:t>
            </w:r>
            <w:r>
              <w:rPr>
                <w:sz w:val="20"/>
              </w:rPr>
              <w:t xml:space="preserve">); the January 21, 2026</w:t>
            </w:r>
            <w:r>
              <w:rPr>
                <w:sz w:val="20"/>
              </w:rPr>
              <w:t xml:space="preserve"> </w:t>
            </w:r>
            <w:r>
              <w:rPr>
                <w:iCs/>
                <w:i/>
                <w:sz w:val="20"/>
              </w:rPr>
              <w:t xml:space="preserve">Maxwell</w:t>
            </w:r>
            <w:r>
              <w:rPr>
                <w:sz w:val="20"/>
              </w:rPr>
              <w:t xml:space="preserve"> </w:t>
            </w:r>
            <w:r>
              <w:rPr>
                <w:sz w:val="20"/>
              </w:rPr>
              <w:t xml:space="preserve">order left the Act’s co-sponsors free to file a separate suit and noted, without deciding, DOJ’s argument that they would lack standing</w:t>
            </w:r>
          </w:p>
        </w:tc>
      </w:tr>
    </w:tbl>
    <w:p>
      <w:pPr>
        <w:pStyle w:val="BodyText"/>
      </w:pPr>
      <w:r>
        <w:rPr>
          <w:bCs/>
          <w:b/>
        </w:rPr>
        <w:t xml:space="preserve">Table C.4. Remedy matrix</w:t>
      </w:r>
      <w:r>
        <w:rPr>
          <w:rStyle w:val="FootnoteReference"/>
        </w:rPr>
        <w:footnoteReference w:id="208"/>
      </w:r>
    </w:p>
    <w:tbl>
      <w:tblPr>
        <w:tblStyle w:val="Table"/>
        <w:tblW w:type="pct" w:w="5000"/>
        <w:tblLook w:firstRow="1" w:lastRow="0" w:firstColumn="0" w:lastColumn="0" w:noHBand="0" w:noVBand="0" w:val="0020"/>
        <w:jc w:val="start"/>
        <w:tblLayout w:type="autofit"/>
      </w:tblPr>
      <w:tblGrid>
        <w:gridCol w:w="1131"/>
        <w:gridCol w:w="1131"/>
        <w:gridCol w:w="1131"/>
        <w:gridCol w:w="1131"/>
        <w:gridCol w:w="1131"/>
        <w:gridCol w:w="1131"/>
        <w:gridCol w:w="1131"/>
      </w:tblGrid>
      <w:tr>
        <w:trPr>
          <w:tblHeader w:val="true"/>
          <w:cantSplit/>
        </w:trPr>
        <w:tc>
          <w:tcPr>
            <w:tcW w:type="pct" w:w="714"/>
          </w:tcPr>
          <w:p>
            <w:pPr>
              <w:pStyle w:val="Compact"/>
              <w:jc w:val="left"/>
            </w:pPr>
            <w:r>
              <w:rPr>
                <w:b/>
                <w:sz w:val="20"/>
              </w:rPr>
              <w:t xml:space="preserve">Route</w:t>
            </w:r>
          </w:p>
        </w:tc>
        <w:tc>
          <w:tcPr>
            <w:tcW w:type="pct" w:w="714"/>
          </w:tcPr>
          <w:p>
            <w:pPr>
              <w:pStyle w:val="Compact"/>
              <w:jc w:val="left"/>
            </w:pPr>
            <w:r>
              <w:rPr>
                <w:b/>
                <w:sz w:val="20"/>
              </w:rPr>
              <w:t xml:space="preserve">Who sues</w:t>
            </w:r>
          </w:p>
        </w:tc>
        <w:tc>
          <w:tcPr>
            <w:tcW w:type="pct" w:w="714"/>
          </w:tcPr>
          <w:p>
            <w:pPr>
              <w:pStyle w:val="Compact"/>
              <w:jc w:val="left"/>
            </w:pPr>
            <w:r>
              <w:rPr>
                <w:b/>
                <w:sz w:val="20"/>
              </w:rPr>
              <w:t xml:space="preserve">Whom; waiver</w:t>
            </w:r>
          </w:p>
        </w:tc>
        <w:tc>
          <w:tcPr>
            <w:tcW w:type="pct" w:w="714"/>
          </w:tcPr>
          <w:p>
            <w:pPr>
              <w:pStyle w:val="Compact"/>
              <w:jc w:val="left"/>
            </w:pPr>
            <w:r>
              <w:rPr>
                <w:b/>
                <w:sz w:val="20"/>
              </w:rPr>
              <w:t xml:space="preserve">What must be shown</w:t>
            </w:r>
          </w:p>
        </w:tc>
        <w:tc>
          <w:tcPr>
            <w:tcW w:type="pct" w:w="714"/>
          </w:tcPr>
          <w:p>
            <w:pPr>
              <w:pStyle w:val="Compact"/>
              <w:jc w:val="left"/>
            </w:pPr>
            <w:r>
              <w:rPr>
                <w:b/>
                <w:sz w:val="20"/>
              </w:rPr>
              <w:t xml:space="preserve">Relief</w:t>
            </w:r>
          </w:p>
        </w:tc>
        <w:tc>
          <w:tcPr>
            <w:tcW w:type="pct" w:w="714"/>
          </w:tcPr>
          <w:p>
            <w:pPr>
              <w:pStyle w:val="Compact"/>
              <w:jc w:val="left"/>
            </w:pPr>
            <w:r>
              <w:rPr>
                <w:b/>
                <w:sz w:val="20"/>
              </w:rPr>
              <w:t xml:space="preserve">Speed</w:t>
            </w:r>
          </w:p>
        </w:tc>
        <w:tc>
          <w:tcPr>
            <w:tcW w:type="pct" w:w="716"/>
          </w:tcPr>
          <w:p>
            <w:pPr>
              <w:pStyle w:val="Compact"/>
              <w:jc w:val="left"/>
            </w:pPr>
            <w:r>
              <w:rPr>
                <w:b/>
                <w:sz w:val="20"/>
              </w:rPr>
              <w:t xml:space="preserve">What the route does not supply</w:t>
            </w:r>
          </w:p>
        </w:tc>
      </w:tr>
      <w:tr>
        <w:trPr>
          <w:cantSplit/>
        </w:trPr>
        <w:tc>
          <w:tcPr>
            <w:tcW w:type="pct" w:w="714"/>
          </w:tcPr>
          <w:p>
            <w:pPr>
              <w:pStyle w:val="Compact"/>
              <w:jc w:val="left"/>
            </w:pPr>
            <w:r>
              <w:rPr>
                <w:sz w:val="20"/>
              </w:rPr>
              <w:t xml:space="preserve">APA, as in</w:t>
            </w:r>
            <w:r>
              <w:rPr>
                <w:sz w:val="20"/>
              </w:rPr>
              <w:t xml:space="preserve"> </w:t>
            </w:r>
            <w:r>
              <w:rPr>
                <w:iCs/>
                <w:i/>
                <w:sz w:val="20"/>
              </w:rPr>
              <w:t xml:space="preserve">Phang</w:t>
            </w:r>
          </w:p>
        </w:tc>
        <w:tc>
          <w:tcPr>
            <w:tcW w:type="pct" w:w="714"/>
          </w:tcPr>
          <w:p>
            <w:pPr>
              <w:pStyle w:val="Compact"/>
              <w:jc w:val="left"/>
            </w:pPr>
            <w:r>
              <w:rPr>
                <w:sz w:val="20"/>
              </w:rPr>
              <w:t xml:space="preserve">A person with informational or economic injury</w:t>
            </w:r>
          </w:p>
        </w:tc>
        <w:tc>
          <w:tcPr>
            <w:tcW w:type="pct" w:w="714"/>
          </w:tcPr>
          <w:p>
            <w:pPr>
              <w:pStyle w:val="Compact"/>
              <w:jc w:val="left"/>
            </w:pPr>
            <w:r>
              <w:rPr>
                <w:sz w:val="20"/>
              </w:rPr>
              <w:t xml:space="preserve">The Attorney General in his official capacity; 5 U.S.C. § 702 waives immunity for relief other than money damages; whether FOIA is an adequate alternative remedy is contested</w:t>
            </w:r>
          </w:p>
        </w:tc>
        <w:tc>
          <w:tcPr>
            <w:tcW w:type="pct" w:w="714"/>
          </w:tcPr>
          <w:p>
            <w:pPr>
              <w:pStyle w:val="Compact"/>
              <w:jc w:val="left"/>
            </w:pPr>
            <w:r>
              <w:rPr>
                <w:sz w:val="20"/>
              </w:rPr>
              <w:t xml:space="preserve">Agency action not in accordance with law, on an administrative record; the merits have so far been treated as conceded</w:t>
            </w:r>
          </w:p>
        </w:tc>
        <w:tc>
          <w:tcPr>
            <w:tcW w:type="pct" w:w="714"/>
          </w:tcPr>
          <w:p>
            <w:pPr>
              <w:pStyle w:val="Compact"/>
              <w:jc w:val="left"/>
            </w:pPr>
            <w:r>
              <w:rPr>
                <w:sz w:val="20"/>
              </w:rPr>
              <w:t xml:space="preserve">Injunction and declaration</w:t>
            </w:r>
          </w:p>
        </w:tc>
        <w:tc>
          <w:tcPr>
            <w:tcW w:type="pct" w:w="714"/>
          </w:tcPr>
          <w:p>
            <w:pPr>
              <w:pStyle w:val="Compact"/>
              <w:jc w:val="left"/>
            </w:pPr>
            <w:r>
              <w:rPr>
                <w:sz w:val="20"/>
              </w:rPr>
              <w:t xml:space="preserve">Complaint April 27, 2026; preliminary injunction June 25, 2026</w:t>
            </w:r>
          </w:p>
        </w:tc>
        <w:tc>
          <w:tcPr>
            <w:tcW w:type="pct" w:w="716"/>
          </w:tcPr>
          <w:p>
            <w:pPr>
              <w:pStyle w:val="Compact"/>
              <w:jc w:val="left"/>
            </w:pPr>
            <w:r>
              <w:rPr>
                <w:sz w:val="20"/>
              </w:rPr>
              <w:t xml:space="preserve">An EFTA-specific cause of action and EFTA-specific provisions for de novo review, agency burden, in camera inspection, and fees; conditional recovery under the Equal Access to Justice Act (EAJA), 28 U.S.C. § 2412(d), is distinct</w:t>
            </w:r>
            <w:r>
              <w:rPr>
                <w:sz w:val="20"/>
                <w:vertAlign w:val="superscript"/>
              </w:rPr>
              <w:t xml:space="preserve">see n. 119</w:t>
            </w:r>
          </w:p>
        </w:tc>
      </w:tr>
      <w:tr>
        <w:trPr>
          <w:cantSplit/>
        </w:trPr>
        <w:tc>
          <w:tcPr>
            <w:tcW w:type="pct" w:w="714"/>
          </w:tcPr>
          <w:p>
            <w:pPr>
              <w:pStyle w:val="Compact"/>
              <w:jc w:val="left"/>
            </w:pPr>
            <w:r>
              <w:rPr>
                <w:sz w:val="20"/>
              </w:rPr>
              <w:t xml:space="preserve">Proposal 1</w:t>
            </w:r>
          </w:p>
        </w:tc>
        <w:tc>
          <w:tcPr>
            <w:tcW w:type="pct" w:w="714"/>
          </w:tcPr>
          <w:p>
            <w:pPr>
              <w:pStyle w:val="Compact"/>
              <w:jc w:val="left"/>
            </w:pPr>
            <w:r>
              <w:rPr>
                <w:sz w:val="20"/>
              </w:rPr>
              <w:t xml:space="preserve">A person denied information the amendment requires to be published, to compel the accounting, with findings naming the harms the duty prevents; then a person who identifies a logged record, or a victim</w:t>
            </w:r>
          </w:p>
        </w:tc>
        <w:tc>
          <w:tcPr>
            <w:tcW w:type="pct" w:w="714"/>
          </w:tcPr>
          <w:p>
            <w:pPr>
              <w:pStyle w:val="Compact"/>
              <w:jc w:val="left"/>
            </w:pPr>
            <w:r>
              <w:rPr>
                <w:sz w:val="20"/>
              </w:rPr>
              <w:t xml:space="preserve">The agency or official; § 702 suffices for non-monetary relief</w:t>
            </w:r>
          </w:p>
        </w:tc>
        <w:tc>
          <w:tcPr>
            <w:tcW w:type="pct" w:w="714"/>
          </w:tcPr>
          <w:p>
            <w:pPr>
              <w:pStyle w:val="Compact"/>
              <w:jc w:val="left"/>
            </w:pPr>
            <w:r>
              <w:rPr>
                <w:sz w:val="20"/>
              </w:rPr>
              <w:t xml:space="preserve">De novo review, with the burden on the agency</w:t>
            </w:r>
          </w:p>
        </w:tc>
        <w:tc>
          <w:tcPr>
            <w:tcW w:type="pct" w:w="714"/>
          </w:tcPr>
          <w:p>
            <w:pPr>
              <w:pStyle w:val="Compact"/>
              <w:jc w:val="left"/>
            </w:pPr>
            <w:r>
              <w:rPr>
                <w:sz w:val="20"/>
              </w:rPr>
              <w:t xml:space="preserve">A schedule order, production, or correction; fees to be specified</w:t>
            </w:r>
          </w:p>
        </w:tc>
        <w:tc>
          <w:tcPr>
            <w:tcW w:type="pct" w:w="714"/>
          </w:tcPr>
          <w:p>
            <w:pPr>
              <w:pStyle w:val="Compact"/>
              <w:jc w:val="left"/>
            </w:pPr>
            <w:r>
              <w:rPr>
                <w:sz w:val="20"/>
              </w:rPr>
              <w:t xml:space="preserve">A fixed accounting date</w:t>
            </w:r>
          </w:p>
        </w:tc>
        <w:tc>
          <w:tcPr>
            <w:tcW w:type="pct" w:w="716"/>
          </w:tcPr>
          <w:p>
            <w:pPr>
              <w:pStyle w:val="Compact"/>
              <w:jc w:val="left"/>
            </w:pPr>
            <w:r>
              <w:rPr>
                <w:sz w:val="20"/>
              </w:rPr>
              <w:t xml:space="preserve">Secure court procedures (Proposal 2)</w:t>
            </w:r>
          </w:p>
        </w:tc>
      </w:tr>
      <w:tr>
        <w:trPr>
          <w:cantSplit/>
        </w:trPr>
        <w:tc>
          <w:tcPr>
            <w:tcW w:type="pct" w:w="714"/>
          </w:tcPr>
          <w:p>
            <w:pPr>
              <w:pStyle w:val="Compact"/>
              <w:jc w:val="left"/>
            </w:pPr>
            <w:r>
              <w:rPr>
                <w:sz w:val="20"/>
              </w:rPr>
              <w:t xml:space="preserve">Proposal 3</w:t>
            </w:r>
          </w:p>
        </w:tc>
        <w:tc>
          <w:tcPr>
            <w:tcW w:type="pct" w:w="714"/>
          </w:tcPr>
          <w:p>
            <w:pPr>
              <w:pStyle w:val="Compact"/>
              <w:jc w:val="left"/>
            </w:pPr>
            <w:r>
              <w:rPr>
                <w:sz w:val="20"/>
              </w:rPr>
              <w:t xml:space="preserve">An identified victim or requester with concrete injury</w:t>
            </w:r>
          </w:p>
        </w:tc>
        <w:tc>
          <w:tcPr>
            <w:tcW w:type="pct" w:w="714"/>
          </w:tcPr>
          <w:p>
            <w:pPr>
              <w:pStyle w:val="Compact"/>
              <w:jc w:val="left"/>
            </w:pPr>
            <w:r>
              <w:rPr>
                <w:sz w:val="20"/>
              </w:rPr>
              <w:t xml:space="preserve">The United States; requires an express money-damages waiver and a named source of payment</w:t>
            </w:r>
          </w:p>
        </w:tc>
        <w:tc>
          <w:tcPr>
            <w:tcW w:type="pct" w:w="714"/>
          </w:tcPr>
          <w:p>
            <w:pPr>
              <w:pStyle w:val="Compact"/>
              <w:jc w:val="left"/>
            </w:pPr>
            <w:r>
              <w:rPr>
                <w:sz w:val="20"/>
              </w:rPr>
              <w:t xml:space="preserve">Liability and amount; intent, defenses, and caps to be defined</w:t>
            </w:r>
          </w:p>
        </w:tc>
        <w:tc>
          <w:tcPr>
            <w:tcW w:type="pct" w:w="714"/>
          </w:tcPr>
          <w:p>
            <w:pPr>
              <w:pStyle w:val="Compact"/>
              <w:jc w:val="left"/>
            </w:pPr>
            <w:r>
              <w:rPr>
                <w:sz w:val="20"/>
              </w:rPr>
              <w:t xml:space="preserve">Compensatory or bounded statutory damages</w:t>
            </w:r>
          </w:p>
        </w:tc>
        <w:tc>
          <w:tcPr>
            <w:tcW w:type="pct" w:w="714"/>
          </w:tcPr>
          <w:p>
            <w:pPr>
              <w:pStyle w:val="Compact"/>
              <w:jc w:val="left"/>
            </w:pPr>
            <w:r>
              <w:rPr>
                <w:sz w:val="20"/>
              </w:rPr>
              <w:t xml:space="preserve">After notice and an opportunity to cure</w:t>
            </w:r>
          </w:p>
        </w:tc>
        <w:tc>
          <w:tcPr>
            <w:tcW w:type="pct" w:w="716"/>
          </w:tcPr>
          <w:p>
            <w:pPr>
              <w:pStyle w:val="Compact"/>
              <w:jc w:val="left"/>
            </w:pPr>
            <w:r>
              <w:rPr>
                <w:sz w:val="20"/>
              </w:rPr>
              <w:t xml:space="preserve">An incentive, unless the award is paid from the agency’s own appropriations</w:t>
            </w:r>
          </w:p>
        </w:tc>
      </w:tr>
      <w:tr>
        <w:trPr>
          <w:cantSplit/>
        </w:trPr>
        <w:tc>
          <w:tcPr>
            <w:tcW w:type="pct" w:w="714"/>
          </w:tcPr>
          <w:p>
            <w:pPr>
              <w:pStyle w:val="Compact"/>
              <w:jc w:val="left"/>
            </w:pPr>
            <w:r>
              <w:rPr>
                <w:sz w:val="20"/>
              </w:rPr>
              <w:t xml:space="preserve">Proposal 7</w:t>
            </w:r>
          </w:p>
        </w:tc>
        <w:tc>
          <w:tcPr>
            <w:tcW w:type="pct" w:w="714"/>
          </w:tcPr>
          <w:p>
            <w:pPr>
              <w:pStyle w:val="Compact"/>
              <w:jc w:val="left"/>
            </w:pPr>
            <w:r>
              <w:rPr>
                <w:sz w:val="20"/>
              </w:rPr>
              <w:t xml:space="preserve">Either House, or a committee it authorizes by resolution, under an express cause of action</w:t>
            </w:r>
          </w:p>
        </w:tc>
        <w:tc>
          <w:tcPr>
            <w:tcW w:type="pct" w:w="714"/>
          </w:tcPr>
          <w:p>
            <w:pPr>
              <w:pStyle w:val="Compact"/>
              <w:jc w:val="left"/>
            </w:pPr>
            <w:r>
              <w:rPr>
                <w:sz w:val="20"/>
              </w:rPr>
              <w:t xml:space="preserve">An executive officer, under a jurisdictional grant that for the Senate amends the exclusion in 28 U.S.C. § 1365(a)</w:t>
            </w:r>
          </w:p>
        </w:tc>
        <w:tc>
          <w:tcPr>
            <w:tcW w:type="pct" w:w="714"/>
          </w:tcPr>
          <w:p>
            <w:pPr>
              <w:pStyle w:val="Compact"/>
              <w:jc w:val="left"/>
            </w:pPr>
            <w:r>
              <w:rPr>
                <w:sz w:val="20"/>
              </w:rPr>
              <w:t xml:space="preserve">Validity of the subpoena; for a constitutionally based privilege, the committee’s need weighed against the executive’s interest</w:t>
            </w:r>
          </w:p>
        </w:tc>
        <w:tc>
          <w:tcPr>
            <w:tcW w:type="pct" w:w="714"/>
          </w:tcPr>
          <w:p>
            <w:pPr>
              <w:pStyle w:val="Compact"/>
              <w:jc w:val="left"/>
            </w:pPr>
            <w:r>
              <w:rPr>
                <w:sz w:val="20"/>
              </w:rPr>
              <w:t xml:space="preserve">An order to comply; penalties on the model of H.R. 4010, for willful noncompliance only</w:t>
            </w:r>
          </w:p>
        </w:tc>
        <w:tc>
          <w:tcPr>
            <w:tcW w:type="pct" w:w="714"/>
          </w:tcPr>
          <w:p>
            <w:pPr>
              <w:pStyle w:val="Compact"/>
              <w:jc w:val="left"/>
            </w:pPr>
            <w:r>
              <w:rPr>
                <w:sz w:val="20"/>
              </w:rPr>
              <w:t xml:space="preserve">A three-judge court with direct appeal, on request; the docket clause is hortatory</w:t>
            </w:r>
          </w:p>
        </w:tc>
        <w:tc>
          <w:tcPr>
            <w:tcW w:type="pct" w:w="716"/>
          </w:tcPr>
          <w:p>
            <w:pPr>
              <w:pStyle w:val="Compact"/>
              <w:jc w:val="left"/>
            </w:pPr>
            <w:r>
              <w:rPr>
                <w:sz w:val="20"/>
              </w:rPr>
              <w:t xml:space="preserve">A willing majority at the authorization step, and in the Senate, if opponents sustain debate, a cloture margin unless an applicable expedited procedure limits debate; a waiver reaching constitutionally based privilege; a lower showing on the merits</w:t>
            </w:r>
          </w:p>
        </w:tc>
      </w:tr>
      <w:tr>
        <w:trPr>
          <w:cantSplit/>
        </w:trPr>
        <w:tc>
          <w:tcPr>
            <w:tcW w:type="pct" w:w="714"/>
          </w:tcPr>
          <w:p>
            <w:pPr>
              <w:pStyle w:val="Compact"/>
              <w:jc w:val="left"/>
            </w:pPr>
            <w:r>
              <w:rPr>
                <w:sz w:val="20"/>
              </w:rPr>
              <w:t xml:space="preserve">EFTA II § 4(a)(1), State officers</w:t>
            </w:r>
          </w:p>
        </w:tc>
        <w:tc>
          <w:tcPr>
            <w:tcW w:type="pct" w:w="714"/>
          </w:tcPr>
          <w:p>
            <w:pPr>
              <w:pStyle w:val="Compact"/>
              <w:jc w:val="left"/>
            </w:pPr>
            <w:r>
              <w:rPr>
                <w:sz w:val="20"/>
              </w:rPr>
              <w:t xml:space="preserve">A State attorney general, district attorney, or</w:t>
            </w:r>
            <w:r>
              <w:rPr>
                <w:sz w:val="20"/>
              </w:rPr>
              <w:t xml:space="preserve"> </w:t>
            </w:r>
            <w:r>
              <w:rPr>
                <w:sz w:val="20"/>
              </w:rPr>
              <w:t xml:space="preserve">“</w:t>
            </w:r>
            <w:r>
              <w:rPr>
                <w:sz w:val="20"/>
              </w:rPr>
              <w:t xml:space="preserve">other authorized State officer,</w:t>
            </w:r>
            <w:r>
              <w:rPr>
                <w:sz w:val="20"/>
              </w:rPr>
              <w:t xml:space="preserve">”</w:t>
            </w:r>
            <w:r>
              <w:rPr>
                <w:sz w:val="20"/>
              </w:rPr>
              <w:t xml:space="preserve"> </w:t>
            </w:r>
            <w:r>
              <w:rPr>
                <w:sz w:val="20"/>
              </w:rPr>
              <w:t xml:space="preserve">for the State</w:t>
            </w:r>
            <w:r>
              <w:rPr>
                <w:sz w:val="20"/>
              </w:rPr>
              <w:t xml:space="preserve"> </w:t>
            </w:r>
            <w:r>
              <w:rPr>
                <w:sz w:val="20"/>
              </w:rPr>
              <w:t xml:space="preserve">“</w:t>
            </w:r>
            <w:r>
              <w:rPr>
                <w:sz w:val="20"/>
              </w:rPr>
              <w:t xml:space="preserve">or the residents thereof</w:t>
            </w:r>
            <w:r>
              <w:rPr>
                <w:sz w:val="20"/>
              </w:rPr>
              <w:t xml:space="preserve">”</w:t>
            </w:r>
          </w:p>
        </w:tc>
        <w:tc>
          <w:tcPr>
            <w:tcW w:type="pct" w:w="714"/>
          </w:tcPr>
          <w:p>
            <w:pPr>
              <w:pStyle w:val="Compact"/>
              <w:jc w:val="left"/>
            </w:pPr>
            <w:r>
              <w:rPr>
                <w:sz w:val="20"/>
              </w:rPr>
              <w:t xml:space="preserve">The Attorney General of the United States; no separate waiver clause; the express authorization of suit for</w:t>
            </w:r>
            <w:r>
              <w:rPr>
                <w:sz w:val="20"/>
              </w:rPr>
              <w:t xml:space="preserve"> </w:t>
            </w:r>
            <w:r>
              <w:rPr>
                <w:sz w:val="20"/>
              </w:rPr>
              <w:t xml:space="preserve">“</w:t>
            </w:r>
            <w:r>
              <w:rPr>
                <w:sz w:val="20"/>
              </w:rPr>
              <w:t xml:space="preserve">monetary relief</w:t>
            </w:r>
            <w:r>
              <w:rPr>
                <w:sz w:val="20"/>
              </w:rPr>
              <w:t xml:space="preserve">”</w:t>
            </w:r>
            <w:r>
              <w:rPr>
                <w:sz w:val="20"/>
              </w:rPr>
              <w:t xml:space="preserve"> </w:t>
            </w:r>
            <w:r>
              <w:rPr>
                <w:sz w:val="20"/>
              </w:rPr>
              <w:t xml:space="preserve">supports a waiver, with its scope requiring clarification</w:t>
            </w:r>
            <w:r>
              <w:rPr>
                <w:sz w:val="20"/>
                <w:vertAlign w:val="superscript"/>
              </w:rPr>
              <w:t xml:space="preserve">see n. 133</w:t>
            </w:r>
          </w:p>
        </w:tc>
        <w:tc>
          <w:tcPr>
            <w:tcW w:type="pct" w:w="714"/>
          </w:tcPr>
          <w:p>
            <w:pPr>
              <w:pStyle w:val="Compact"/>
              <w:jc w:val="left"/>
            </w:pPr>
            <w:r>
              <w:rPr>
                <w:sz w:val="20"/>
              </w:rPr>
              <w:t xml:space="preserve">Unlawful withholding, redaction, or delay</w:t>
            </w:r>
          </w:p>
        </w:tc>
        <w:tc>
          <w:tcPr>
            <w:tcW w:type="pct" w:w="714"/>
          </w:tcPr>
          <w:p>
            <w:pPr>
              <w:pStyle w:val="Compact"/>
              <w:jc w:val="left"/>
            </w:pPr>
            <w:r>
              <w:rPr>
                <w:sz w:val="20"/>
              </w:rPr>
              <w:t xml:space="preserve">Declaratory, injunctive, and monetary relief, costs, and fees</w:t>
            </w:r>
          </w:p>
        </w:tc>
        <w:tc>
          <w:tcPr>
            <w:tcW w:type="pct" w:w="714"/>
          </w:tcPr>
          <w:p>
            <w:pPr>
              <w:pStyle w:val="Compact"/>
              <w:jc w:val="left"/>
            </w:pPr>
            <w:r>
              <w:rPr>
                <w:sz w:val="20"/>
              </w:rPr>
              <w:t xml:space="preserve">The court</w:t>
            </w:r>
            <w:r>
              <w:rPr>
                <w:sz w:val="20"/>
              </w:rPr>
              <w:t xml:space="preserve"> </w:t>
            </w:r>
            <w:r>
              <w:rPr>
                <w:sz w:val="20"/>
              </w:rPr>
              <w:t xml:space="preserve">“</w:t>
            </w:r>
            <w:r>
              <w:rPr>
                <w:sz w:val="20"/>
              </w:rPr>
              <w:t xml:space="preserve">shall advance on the docket and expedite the disposition of a civil action filed under this subsection to the greatest extent practicable</w:t>
            </w:r>
            <w:r>
              <w:rPr>
                <w:sz w:val="20"/>
              </w:rPr>
              <w:t xml:space="preserve">”</w:t>
            </w:r>
            <w:r>
              <w:rPr>
                <w:sz w:val="20"/>
              </w:rPr>
              <w:t xml:space="preserve"> </w:t>
            </w:r>
            <w:r>
              <w:rPr>
                <w:sz w:val="20"/>
              </w:rPr>
              <w:t xml:space="preserve">(hortatory)</w:t>
            </w:r>
          </w:p>
        </w:tc>
        <w:tc>
          <w:tcPr>
            <w:tcW w:type="pct" w:w="716"/>
          </w:tcPr>
          <w:p>
            <w:pPr>
              <w:pStyle w:val="Compact"/>
              <w:jc w:val="left"/>
            </w:pPr>
            <w:r>
              <w:rPr>
                <w:sz w:val="20"/>
              </w:rPr>
              <w:t xml:space="preserve">A State-held right for suits on behalf of residents (the State’s own right is the § 4(c)(1) access for its own investigations and proceedings), clarity on the scope and adequacy of the monetary authorization, and a measure of damages</w:t>
            </w:r>
          </w:p>
        </w:tc>
      </w:tr>
      <w:tr>
        <w:trPr>
          <w:cantSplit/>
        </w:trPr>
        <w:tc>
          <w:tcPr>
            <w:tcW w:type="pct" w:w="714"/>
          </w:tcPr>
          <w:p>
            <w:pPr>
              <w:pStyle w:val="Compact"/>
              <w:jc w:val="left"/>
            </w:pPr>
            <w:r>
              <w:rPr>
                <w:sz w:val="20"/>
              </w:rPr>
              <w:t xml:space="preserve">EFTA II § 4(a)(1) and (b)(3), victims</w:t>
            </w:r>
          </w:p>
        </w:tc>
        <w:tc>
          <w:tcPr>
            <w:tcW w:type="pct" w:w="714"/>
          </w:tcPr>
          <w:p>
            <w:pPr>
              <w:pStyle w:val="Compact"/>
              <w:jc w:val="left"/>
            </w:pPr>
            <w:r>
              <w:rPr>
                <w:sz w:val="20"/>
              </w:rPr>
              <w:t xml:space="preserve">A</w:t>
            </w:r>
            <w:r>
              <w:rPr>
                <w:sz w:val="20"/>
              </w:rPr>
              <w:t xml:space="preserve"> </w:t>
            </w:r>
            <w:r>
              <w:rPr>
                <w:sz w:val="20"/>
              </w:rPr>
              <w:t xml:space="preserve">“</w:t>
            </w:r>
            <w:r>
              <w:rPr>
                <w:sz w:val="20"/>
              </w:rPr>
              <w:t xml:space="preserve">victim</w:t>
            </w:r>
            <w:r>
              <w:rPr>
                <w:sz w:val="20"/>
              </w:rPr>
              <w:t xml:space="preserve">”</w:t>
            </w:r>
            <w:r>
              <w:rPr>
                <w:sz w:val="20"/>
              </w:rPr>
              <w:t xml:space="preserve">: directly harmed and meeting one of § 4(g)(1)(A)’s identification routes, including an affidavit alleging that harm, subject to § 4(g)(1)(B)’s exclusion and victimization exception</w:t>
            </w:r>
          </w:p>
        </w:tc>
        <w:tc>
          <w:tcPr>
            <w:tcW w:type="pct" w:w="714"/>
          </w:tcPr>
          <w:p>
            <w:pPr>
              <w:pStyle w:val="Compact"/>
              <w:jc w:val="left"/>
            </w:pPr>
            <w:r>
              <w:rPr>
                <w:sz w:val="20"/>
              </w:rPr>
              <w:t xml:space="preserve">Same</w:t>
            </w:r>
          </w:p>
        </w:tc>
        <w:tc>
          <w:tcPr>
            <w:tcW w:type="pct" w:w="714"/>
          </w:tcPr>
          <w:p>
            <w:pPr>
              <w:pStyle w:val="Compact"/>
              <w:jc w:val="left"/>
            </w:pPr>
            <w:r>
              <w:rPr>
                <w:sz w:val="20"/>
              </w:rPr>
              <w:t xml:space="preserve">Same</w:t>
            </w:r>
          </w:p>
        </w:tc>
        <w:tc>
          <w:tcPr>
            <w:tcW w:type="pct" w:w="714"/>
          </w:tcPr>
          <w:p>
            <w:pPr>
              <w:pStyle w:val="Compact"/>
              <w:jc w:val="left"/>
            </w:pPr>
            <w:r>
              <w:rPr>
                <w:sz w:val="20"/>
              </w:rPr>
              <w:t xml:space="preserve">Same</w:t>
            </w:r>
          </w:p>
        </w:tc>
        <w:tc>
          <w:tcPr>
            <w:tcW w:type="pct" w:w="714"/>
          </w:tcPr>
          <w:p>
            <w:pPr>
              <w:pStyle w:val="Compact"/>
              <w:jc w:val="left"/>
            </w:pPr>
            <w:r>
              <w:rPr>
                <w:sz w:val="20"/>
              </w:rPr>
              <w:t xml:space="preserve">The same hortatory clause (§ 4(b)(3)(B))</w:t>
            </w:r>
          </w:p>
        </w:tc>
        <w:tc>
          <w:tcPr>
            <w:tcW w:type="pct" w:w="716"/>
          </w:tcPr>
          <w:p>
            <w:pPr>
              <w:pStyle w:val="Compact"/>
              <w:jc w:val="left"/>
            </w:pPr>
            <w:r>
              <w:rPr>
                <w:sz w:val="20"/>
              </w:rPr>
              <w:t xml:space="preserve">An express procedure to determine direct harm and apply § 4(g)(1)(B)’s exclusion before access, specifying an independent decision-maker, burden and timing; the affidavit route alone supplies no such procedure</w:t>
            </w:r>
          </w:p>
        </w:tc>
      </w:tr>
      <w:tr>
        <w:trPr>
          <w:cantSplit/>
        </w:trPr>
        <w:tc>
          <w:tcPr>
            <w:tcW w:type="pct" w:w="714"/>
          </w:tcPr>
          <w:p>
            <w:pPr>
              <w:pStyle w:val="Compact"/>
              <w:jc w:val="left"/>
            </w:pPr>
            <w:r>
              <w:rPr>
                <w:sz w:val="20"/>
              </w:rPr>
              <w:t xml:space="preserve">EFTA II § 4(e)</w:t>
            </w:r>
          </w:p>
        </w:tc>
        <w:tc>
          <w:tcPr>
            <w:tcW w:type="pct" w:w="714"/>
          </w:tcPr>
          <w:p>
            <w:pPr>
              <w:pStyle w:val="Compact"/>
              <w:jc w:val="left"/>
            </w:pPr>
            <w:r>
              <w:rPr>
                <w:sz w:val="20"/>
              </w:rPr>
              <w:t xml:space="preserve">Any Member of Congress</w:t>
            </w:r>
          </w:p>
        </w:tc>
        <w:tc>
          <w:tcPr>
            <w:tcW w:type="pct" w:w="714"/>
          </w:tcPr>
          <w:p>
            <w:pPr>
              <w:pStyle w:val="Compact"/>
              <w:jc w:val="left"/>
            </w:pPr>
            <w:r>
              <w:rPr>
                <w:sz w:val="20"/>
              </w:rPr>
              <w:t xml:space="preserve">The Attorney General of the United States</w:t>
            </w:r>
          </w:p>
        </w:tc>
        <w:tc>
          <w:tcPr>
            <w:tcW w:type="pct" w:w="714"/>
          </w:tcPr>
          <w:p>
            <w:pPr>
              <w:pStyle w:val="Compact"/>
              <w:jc w:val="left"/>
            </w:pPr>
            <w:r>
              <w:rPr>
                <w:sz w:val="20"/>
              </w:rPr>
              <w:t xml:space="preserve">Non-compliance with a written request for unredacted access within 7 calendar days, or with a written notice of violation within 30 days</w:t>
            </w:r>
          </w:p>
        </w:tc>
        <w:tc>
          <w:tcPr>
            <w:tcW w:type="pct" w:w="714"/>
          </w:tcPr>
          <w:p>
            <w:pPr>
              <w:pStyle w:val="Compact"/>
              <w:jc w:val="left"/>
            </w:pPr>
            <w:r>
              <w:rPr>
                <w:sz w:val="20"/>
              </w:rPr>
              <w:t xml:space="preserve">Declaration, injunction, mandamus, costs, and fees</w:t>
            </w:r>
          </w:p>
        </w:tc>
        <w:tc>
          <w:tcPr>
            <w:tcW w:type="pct" w:w="714"/>
          </w:tcPr>
          <w:p>
            <w:pPr>
              <w:pStyle w:val="Compact"/>
              <w:jc w:val="left"/>
            </w:pPr>
            <w:r>
              <w:rPr>
                <w:sz w:val="20"/>
              </w:rPr>
              <w:t xml:space="preserve">Not stated</w:t>
            </w:r>
          </w:p>
        </w:tc>
        <w:tc>
          <w:tcPr>
            <w:tcW w:type="pct" w:w="716"/>
          </w:tcPr>
          <w:p>
            <w:pPr>
              <w:pStyle w:val="Compact"/>
              <w:jc w:val="left"/>
            </w:pPr>
            <w:r>
              <w:rPr>
                <w:sz w:val="20"/>
              </w:rPr>
              <w:t xml:space="preserve">A settled answer to</w:t>
            </w:r>
            <w:r>
              <w:rPr>
                <w:sz w:val="20"/>
              </w:rPr>
              <w:t xml:space="preserve"> </w:t>
            </w:r>
            <w:r>
              <w:rPr>
                <w:iCs/>
                <w:i/>
                <w:sz w:val="20"/>
              </w:rPr>
              <w:t xml:space="preserve">Raines v. Byrd</w:t>
            </w:r>
            <w:r>
              <w:rPr>
                <w:sz w:val="20"/>
              </w:rPr>
              <w:t xml:space="preserve">: the access right is written as personal to each Member, a basis for standing the D.C. Circuit has not settled</w:t>
            </w:r>
          </w:p>
        </w:tc>
      </w:tr>
      <w:tr>
        <w:trPr>
          <w:cantSplit/>
        </w:trPr>
        <w:tc>
          <w:tcPr>
            <w:tcW w:type="pct" w:w="714"/>
          </w:tcPr>
          <w:p>
            <w:pPr>
              <w:pStyle w:val="Compact"/>
              <w:jc w:val="left"/>
            </w:pPr>
            <w:r>
              <w:rPr>
                <w:sz w:val="20"/>
              </w:rPr>
              <w:t xml:space="preserve">EFTA II § 4(d), classified records</w:t>
            </w:r>
          </w:p>
        </w:tc>
        <w:tc>
          <w:tcPr>
            <w:tcW w:type="pct" w:w="714"/>
          </w:tcPr>
          <w:p>
            <w:pPr>
              <w:pStyle w:val="Compact"/>
              <w:jc w:val="left"/>
            </w:pPr>
            <w:r>
              <w:rPr>
                <w:sz w:val="20"/>
              </w:rPr>
              <w:t xml:space="preserve">A State attorney general, district attorney, or</w:t>
            </w:r>
            <w:r>
              <w:rPr>
                <w:sz w:val="20"/>
              </w:rPr>
              <w:t xml:space="preserve"> </w:t>
            </w:r>
            <w:r>
              <w:rPr>
                <w:sz w:val="20"/>
              </w:rPr>
              <w:t xml:space="preserve">“</w:t>
            </w:r>
            <w:r>
              <w:rPr>
                <w:sz w:val="20"/>
              </w:rPr>
              <w:t xml:space="preserve">other authorized State officer</w:t>
            </w:r>
            <w:r>
              <w:rPr>
                <w:sz w:val="20"/>
              </w:rPr>
              <w:t xml:space="preserve">”</w:t>
            </w:r>
            <w:r>
              <w:rPr>
                <w:sz w:val="20"/>
              </w:rPr>
              <w:t xml:space="preserve"> </w:t>
            </w:r>
            <w:r>
              <w:rPr>
                <w:sz w:val="20"/>
              </w:rPr>
              <w:t xml:space="preserve">conducting an investigation or proceeding</w:t>
            </w:r>
          </w:p>
        </w:tc>
        <w:tc>
          <w:tcPr>
            <w:tcW w:type="pct" w:w="714"/>
          </w:tcPr>
          <w:p>
            <w:pPr>
              <w:pStyle w:val="Compact"/>
              <w:jc w:val="left"/>
            </w:pPr>
            <w:r>
              <w:rPr>
                <w:sz w:val="20"/>
              </w:rPr>
              <w:t xml:space="preserve">The Attorney General of the United States, who</w:t>
            </w:r>
            <w:r>
              <w:rPr>
                <w:sz w:val="20"/>
              </w:rPr>
              <w:t xml:space="preserve"> </w:t>
            </w:r>
            <w:r>
              <w:rPr>
                <w:sz w:val="20"/>
              </w:rPr>
              <w:t xml:space="preserve">“</w:t>
            </w:r>
            <w:r>
              <w:rPr>
                <w:sz w:val="20"/>
              </w:rPr>
              <w:t xml:space="preserve">may not refuse, delay, or object to access … on the grounds that the material is classified</w:t>
            </w:r>
            <w:r>
              <w:rPr>
                <w:sz w:val="20"/>
              </w:rPr>
              <w:t xml:space="preserve">”</w:t>
            </w:r>
          </w:p>
        </w:tc>
        <w:tc>
          <w:tcPr>
            <w:tcW w:type="pct" w:w="714"/>
          </w:tcPr>
          <w:p>
            <w:pPr>
              <w:pStyle w:val="Compact"/>
              <w:jc w:val="left"/>
            </w:pPr>
            <w:r>
              <w:rPr>
                <w:sz w:val="20"/>
              </w:rPr>
              <w:t xml:space="preserve">A request for</w:t>
            </w:r>
            <w:r>
              <w:rPr>
                <w:sz w:val="20"/>
              </w:rPr>
              <w:t xml:space="preserve"> </w:t>
            </w:r>
            <w:r>
              <w:rPr>
                <w:sz w:val="20"/>
              </w:rPr>
              <w:t xml:space="preserve">“</w:t>
            </w:r>
            <w:r>
              <w:rPr>
                <w:sz w:val="20"/>
              </w:rPr>
              <w:t xml:space="preserve">classified records described in section 2(a)</w:t>
            </w:r>
            <w:r>
              <w:rPr>
                <w:sz w:val="20"/>
              </w:rPr>
              <w:t xml:space="preserve">”</w:t>
            </w:r>
          </w:p>
        </w:tc>
        <w:tc>
          <w:tcPr>
            <w:tcW w:type="pct" w:w="714"/>
          </w:tcPr>
          <w:p>
            <w:pPr>
              <w:pStyle w:val="Compact"/>
              <w:jc w:val="left"/>
            </w:pPr>
            <w:r>
              <w:rPr>
                <w:sz w:val="20"/>
              </w:rPr>
              <w:t xml:space="preserve">“</w:t>
            </w:r>
            <w:r>
              <w:rPr>
                <w:sz w:val="20"/>
              </w:rPr>
              <w:t xml:space="preserve">Full, unredacted review</w:t>
            </w:r>
            <w:r>
              <w:rPr>
                <w:sz w:val="20"/>
              </w:rPr>
              <w:t xml:space="preserve">”</w:t>
            </w:r>
            <w:r>
              <w:rPr>
                <w:sz w:val="20"/>
              </w:rPr>
              <w:t xml:space="preserve"> </w:t>
            </w:r>
            <w:r>
              <w:rPr>
                <w:sz w:val="20"/>
              </w:rPr>
              <w:t xml:space="preserve">in a secure facility under court-approved procedures</w:t>
            </w:r>
          </w:p>
        </w:tc>
        <w:tc>
          <w:tcPr>
            <w:tcW w:type="pct" w:w="714"/>
          </w:tcPr>
          <w:p>
            <w:pPr>
              <w:pStyle w:val="Compact"/>
              <w:jc w:val="left"/>
            </w:pPr>
            <w:r>
              <w:rPr>
                <w:sz w:val="20"/>
              </w:rPr>
              <w:t xml:space="preserve">Not stated</w:t>
            </w:r>
          </w:p>
        </w:tc>
        <w:tc>
          <w:tcPr>
            <w:tcW w:type="pct" w:w="716"/>
          </w:tcPr>
          <w:p>
            <w:pPr>
              <w:pStyle w:val="Compact"/>
              <w:jc w:val="left"/>
            </w:pPr>
            <w:r>
              <w:rPr>
                <w:sz w:val="20"/>
              </w:rPr>
              <w:t xml:space="preserve">An answer to the Article II objection the executive would raise (</w:t>
            </w:r>
            <w:r>
              <w:rPr>
                <w:iCs/>
                <w:i/>
                <w:sz w:val="20"/>
              </w:rPr>
              <w:t xml:space="preserve">Department of the Navy v. Egan</w:t>
            </w:r>
            <w:r>
              <w:rPr>
                <w:sz w:val="20"/>
              </w:rPr>
              <w:t xml:space="preserve">), and, on a literal reading, any records, since § 2(a) describes only unclassified records</w:t>
            </w:r>
          </w:p>
        </w:tc>
      </w:tr>
    </w:tbl>
    <w:p>
      <w:pPr>
        <w:pStyle w:val="BodyText"/>
      </w:pPr>
      <w:r>
        <w:rPr>
          <w:bCs/>
          <w:b/>
        </w:rPr>
        <w:t xml:space="preserve">Table C.5. Consequences that attach without a court</w:t>
      </w:r>
      <w:r>
        <w:rPr>
          <w:rStyle w:val="FootnoteReference"/>
        </w:rPr>
        <w:footnoteReference w:id="209"/>
      </w:r>
    </w:p>
    <w:tbl>
      <w:tblPr>
        <w:tblStyle w:val="Table"/>
        <w:tblW w:type="pct" w:w="5000"/>
        <w:tblLook w:firstRow="1" w:lastRow="0" w:firstColumn="0" w:lastColumn="0" w:noHBand="0" w:noVBand="0" w:val="0020"/>
        <w:jc w:val="start"/>
        <w:tblLayout w:type="autofit"/>
      </w:tblPr>
      <w:tblGrid>
        <w:gridCol w:w="3960"/>
        <w:gridCol w:w="3960"/>
      </w:tblGrid>
      <w:tr>
        <w:trPr>
          <w:tblHeader w:val="true"/>
          <w:cantSplit/>
        </w:trPr>
        <w:tc>
          <w:tcPr>
            <w:tcW w:type="pct" w:w="2500"/>
          </w:tcPr>
          <w:p>
            <w:pPr>
              <w:pStyle w:val="Compact"/>
              <w:jc w:val="left"/>
            </w:pPr>
            <w:r>
              <w:rPr>
                <w:b/>
                <w:sz w:val="20"/>
              </w:rPr>
              <w:t xml:space="preserve">Obligation</w:t>
            </w:r>
          </w:p>
        </w:tc>
        <w:tc>
          <w:tcPr>
            <w:tcW w:type="pct" w:w="2500"/>
          </w:tcPr>
          <w:p>
            <w:pPr>
              <w:pStyle w:val="Compact"/>
              <w:jc w:val="left"/>
            </w:pPr>
            <w:r>
              <w:rPr>
                <w:b/>
                <w:sz w:val="20"/>
              </w:rPr>
              <w:t xml:space="preserve">Consequence that attaches without litigation</w:t>
            </w:r>
          </w:p>
        </w:tc>
      </w:tr>
      <w:tr>
        <w:trPr>
          <w:cantSplit/>
        </w:trPr>
        <w:tc>
          <w:tcPr>
            <w:tcW w:type="pct" w:w="2500"/>
          </w:tcPr>
          <w:p>
            <w:pPr>
              <w:pStyle w:val="Compact"/>
              <w:jc w:val="left"/>
            </w:pPr>
            <w:r>
              <w:rPr>
                <w:sz w:val="20"/>
              </w:rPr>
              <w:t xml:space="preserve">Enacted § 2(a) 30-day deadline</w:t>
            </w:r>
          </w:p>
        </w:tc>
        <w:tc>
          <w:tcPr>
            <w:tcW w:type="pct" w:w="2500"/>
          </w:tcPr>
          <w:p>
            <w:pPr>
              <w:pStyle w:val="Compact"/>
              <w:jc w:val="left"/>
            </w:pPr>
            <w:r>
              <w:rPr>
                <w:sz w:val="20"/>
              </w:rPr>
              <w:t xml:space="preserve">None</w:t>
            </w:r>
          </w:p>
        </w:tc>
      </w:tr>
      <w:tr>
        <w:trPr>
          <w:cantSplit/>
        </w:trPr>
        <w:tc>
          <w:tcPr>
            <w:tcW w:type="pct" w:w="2500"/>
          </w:tcPr>
          <w:p>
            <w:pPr>
              <w:pStyle w:val="Compact"/>
              <w:jc w:val="left"/>
            </w:pPr>
            <w:r>
              <w:rPr>
                <w:sz w:val="20"/>
              </w:rPr>
              <w:t xml:space="preserve">Enacted § 2(b)(1) prohibition</w:t>
            </w:r>
          </w:p>
        </w:tc>
        <w:tc>
          <w:tcPr>
            <w:tcW w:type="pct" w:w="2500"/>
          </w:tcPr>
          <w:p>
            <w:pPr>
              <w:pStyle w:val="Compact"/>
              <w:jc w:val="left"/>
            </w:pPr>
            <w:r>
              <w:rPr>
                <w:sz w:val="20"/>
              </w:rPr>
              <w:t xml:space="preserve">None</w:t>
            </w:r>
          </w:p>
        </w:tc>
      </w:tr>
      <w:tr>
        <w:trPr>
          <w:cantSplit/>
        </w:trPr>
        <w:tc>
          <w:tcPr>
            <w:tcW w:type="pct" w:w="2500"/>
          </w:tcPr>
          <w:p>
            <w:pPr>
              <w:pStyle w:val="Compact"/>
              <w:jc w:val="left"/>
            </w:pPr>
            <w:r>
              <w:rPr>
                <w:sz w:val="20"/>
              </w:rPr>
              <w:t xml:space="preserve">Enacted § 2(c)(2) justification</w:t>
            </w:r>
          </w:p>
        </w:tc>
        <w:tc>
          <w:tcPr>
            <w:tcW w:type="pct" w:w="2500"/>
          </w:tcPr>
          <w:p>
            <w:pPr>
              <w:pStyle w:val="Compact"/>
              <w:jc w:val="left"/>
            </w:pPr>
            <w:r>
              <w:rPr>
                <w:sz w:val="20"/>
              </w:rPr>
              <w:t xml:space="preserve">None</w:t>
            </w:r>
          </w:p>
        </w:tc>
      </w:tr>
      <w:tr>
        <w:trPr>
          <w:cantSplit/>
        </w:trPr>
        <w:tc>
          <w:tcPr>
            <w:tcW w:type="pct" w:w="2500"/>
          </w:tcPr>
          <w:p>
            <w:pPr>
              <w:pStyle w:val="Compact"/>
              <w:jc w:val="left"/>
            </w:pPr>
            <w:r>
              <w:rPr>
                <w:sz w:val="20"/>
              </w:rPr>
              <w:t xml:space="preserve">Enacted § 3 report</w:t>
            </w:r>
          </w:p>
        </w:tc>
        <w:tc>
          <w:tcPr>
            <w:tcW w:type="pct" w:w="2500"/>
          </w:tcPr>
          <w:p>
            <w:pPr>
              <w:pStyle w:val="Compact"/>
              <w:jc w:val="left"/>
            </w:pPr>
            <w:r>
              <w:rPr>
                <w:sz w:val="20"/>
              </w:rPr>
              <w:t xml:space="preserve">None; the trigger is the obligor’s own declaration of completion</w:t>
            </w:r>
          </w:p>
        </w:tc>
      </w:tr>
      <w:tr>
        <w:trPr>
          <w:cantSplit/>
        </w:trPr>
        <w:tc>
          <w:tcPr>
            <w:tcW w:type="pct" w:w="2500"/>
          </w:tcPr>
          <w:p>
            <w:pPr>
              <w:pStyle w:val="Compact"/>
              <w:jc w:val="left"/>
            </w:pPr>
            <w:r>
              <w:rPr>
                <w:sz w:val="20"/>
              </w:rPr>
              <w:t xml:space="preserve">Proposal 1</w:t>
            </w:r>
          </w:p>
        </w:tc>
        <w:tc>
          <w:tcPr>
            <w:tcW w:type="pct" w:w="2500"/>
          </w:tcPr>
          <w:p>
            <w:pPr>
              <w:pStyle w:val="Compact"/>
              <w:jc w:val="left"/>
            </w:pPr>
            <w:r>
              <w:rPr>
                <w:sz w:val="20"/>
              </w:rPr>
              <w:t xml:space="preserve">None; a right to sue</w:t>
            </w:r>
          </w:p>
        </w:tc>
      </w:tr>
      <w:tr>
        <w:trPr>
          <w:cantSplit/>
        </w:trPr>
        <w:tc>
          <w:tcPr>
            <w:tcW w:type="pct" w:w="2500"/>
          </w:tcPr>
          <w:p>
            <w:pPr>
              <w:pStyle w:val="Compact"/>
              <w:jc w:val="left"/>
            </w:pPr>
            <w:r>
              <w:rPr>
                <w:sz w:val="20"/>
              </w:rPr>
              <w:t xml:space="preserve">Proposal 2</w:t>
            </w:r>
          </w:p>
        </w:tc>
        <w:tc>
          <w:tcPr>
            <w:tcW w:type="pct" w:w="2500"/>
          </w:tcPr>
          <w:p>
            <w:pPr>
              <w:pStyle w:val="Compact"/>
              <w:jc w:val="left"/>
            </w:pPr>
            <w:r>
              <w:rPr>
                <w:sz w:val="20"/>
              </w:rPr>
              <w:t xml:space="preserve">None; court review</w:t>
            </w:r>
          </w:p>
        </w:tc>
      </w:tr>
      <w:tr>
        <w:trPr>
          <w:cantSplit/>
        </w:trPr>
        <w:tc>
          <w:tcPr>
            <w:tcW w:type="pct" w:w="2500"/>
          </w:tcPr>
          <w:p>
            <w:pPr>
              <w:pStyle w:val="Compact"/>
              <w:jc w:val="left"/>
            </w:pPr>
            <w:r>
              <w:rPr>
                <w:sz w:val="20"/>
              </w:rPr>
              <w:t xml:space="preserve">Proposal 3</w:t>
            </w:r>
          </w:p>
        </w:tc>
        <w:tc>
          <w:tcPr>
            <w:tcW w:type="pct" w:w="2500"/>
          </w:tcPr>
          <w:p>
            <w:pPr>
              <w:pStyle w:val="Compact"/>
              <w:jc w:val="left"/>
            </w:pPr>
            <w:r>
              <w:rPr>
                <w:sz w:val="20"/>
              </w:rPr>
              <w:t xml:space="preserve">None; adjudicated damages, then payment</w:t>
            </w:r>
          </w:p>
        </w:tc>
      </w:tr>
      <w:tr>
        <w:trPr>
          <w:cantSplit/>
        </w:trPr>
        <w:tc>
          <w:tcPr>
            <w:tcW w:type="pct" w:w="2500"/>
          </w:tcPr>
          <w:p>
            <w:pPr>
              <w:pStyle w:val="Compact"/>
              <w:jc w:val="left"/>
            </w:pPr>
            <w:r>
              <w:rPr>
                <w:sz w:val="20"/>
              </w:rPr>
              <w:t xml:space="preserve">Proposal 4</w:t>
            </w:r>
          </w:p>
        </w:tc>
        <w:tc>
          <w:tcPr>
            <w:tcW w:type="pct" w:w="2500"/>
          </w:tcPr>
          <w:p>
            <w:pPr>
              <w:pStyle w:val="Compact"/>
              <w:jc w:val="left"/>
            </w:pPr>
            <w:r>
              <w:rPr>
                <w:sz w:val="20"/>
              </w:rPr>
              <w:t xml:space="preserve">Reporting of a refusal to Congress</w:t>
            </w:r>
          </w:p>
        </w:tc>
      </w:tr>
      <w:tr>
        <w:trPr>
          <w:cantSplit/>
        </w:trPr>
        <w:tc>
          <w:tcPr>
            <w:tcW w:type="pct" w:w="2500"/>
          </w:tcPr>
          <w:p>
            <w:pPr>
              <w:pStyle w:val="Compact"/>
              <w:jc w:val="left"/>
            </w:pPr>
            <w:r>
              <w:rPr>
                <w:sz w:val="20"/>
              </w:rPr>
              <w:t xml:space="preserve">Proposal 5</w:t>
            </w:r>
          </w:p>
        </w:tc>
        <w:tc>
          <w:tcPr>
            <w:tcW w:type="pct" w:w="2500"/>
          </w:tcPr>
          <w:p>
            <w:pPr>
              <w:pStyle w:val="Compact"/>
              <w:jc w:val="left"/>
            </w:pPr>
            <w:r>
              <w:rPr>
                <w:sz w:val="20"/>
              </w:rPr>
              <w:t xml:space="preserve">Notice and reasons, which current law already requires in part</w:t>
            </w:r>
          </w:p>
        </w:tc>
      </w:tr>
      <w:tr>
        <w:trPr>
          <w:cantSplit/>
        </w:trPr>
        <w:tc>
          <w:tcPr>
            <w:tcW w:type="pct" w:w="2500"/>
          </w:tcPr>
          <w:p>
            <w:pPr>
              <w:pStyle w:val="Compact"/>
              <w:jc w:val="left"/>
            </w:pPr>
            <w:r>
              <w:rPr>
                <w:sz w:val="20"/>
              </w:rPr>
              <w:t xml:space="preserve">Proposal 6</w:t>
            </w:r>
          </w:p>
        </w:tc>
        <w:tc>
          <w:tcPr>
            <w:tcW w:type="pct" w:w="2500"/>
          </w:tcPr>
          <w:p>
            <w:pPr>
              <w:pStyle w:val="Compact"/>
              <w:jc w:val="left"/>
            </w:pPr>
            <w:r>
              <w:rPr>
                <w:sz w:val="20"/>
              </w:rPr>
              <w:t xml:space="preserve">None</w:t>
            </w:r>
          </w:p>
        </w:tc>
      </w:tr>
      <w:tr>
        <w:trPr>
          <w:cantSplit/>
        </w:trPr>
        <w:tc>
          <w:tcPr>
            <w:tcW w:type="pct" w:w="2500"/>
          </w:tcPr>
          <w:p>
            <w:pPr>
              <w:pStyle w:val="Compact"/>
              <w:jc w:val="left"/>
            </w:pPr>
            <w:r>
              <w:rPr>
                <w:sz w:val="20"/>
              </w:rPr>
              <w:t xml:space="preserve">Proposal 7</w:t>
            </w:r>
          </w:p>
        </w:tc>
        <w:tc>
          <w:tcPr>
            <w:tcW w:type="pct" w:w="2500"/>
          </w:tcPr>
          <w:p>
            <w:pPr>
              <w:pStyle w:val="Compact"/>
              <w:jc w:val="left"/>
            </w:pPr>
            <w:r>
              <w:rPr>
                <w:sz w:val="20"/>
              </w:rPr>
              <w:t xml:space="preserve">None; a right to sue, after authorization by the chamber</w:t>
            </w:r>
          </w:p>
        </w:tc>
      </w:tr>
      <w:tr>
        <w:trPr>
          <w:cantSplit/>
        </w:trPr>
        <w:tc>
          <w:tcPr>
            <w:tcW w:type="pct" w:w="2500"/>
          </w:tcPr>
          <w:p>
            <w:pPr>
              <w:pStyle w:val="Compact"/>
              <w:jc w:val="left"/>
            </w:pPr>
            <w:r>
              <w:rPr>
                <w:sz w:val="20"/>
              </w:rPr>
              <w:t xml:space="preserve">Devices named in the Recommendations and not yet designed</w:t>
            </w:r>
          </w:p>
        </w:tc>
        <w:tc>
          <w:tcPr>
            <w:tcW w:type="pct" w:w="2500"/>
          </w:tcPr>
          <w:p>
            <w:pPr>
              <w:pStyle w:val="Compact"/>
              <w:jc w:val="left"/>
            </w:pPr>
            <w:r>
              <w:rPr>
                <w:sz w:val="20"/>
              </w:rPr>
              <w:t xml:space="preserve">Lapse of a temporary or non-enumerated withholding that is not logged and renewed; a burden on the agency to justify each entry; sworn certification by a named official, on the model of the</w:t>
            </w:r>
            <w:r>
              <w:rPr>
                <w:sz w:val="20"/>
              </w:rPr>
              <w:t xml:space="preserve"> </w:t>
            </w:r>
            <w:r>
              <w:rPr>
                <w:iCs/>
                <w:i/>
                <w:sz w:val="20"/>
              </w:rPr>
              <w:t xml:space="preserve">Maxwell</w:t>
            </w:r>
            <w:r>
              <w:rPr>
                <w:sz w:val="20"/>
              </w:rPr>
              <w:t xml:space="preserve"> </w:t>
            </w:r>
            <w:r>
              <w:rPr>
                <w:sz w:val="20"/>
              </w:rPr>
              <w:t xml:space="preserve">protective order’s requirement that the United States Attorney</w:t>
            </w:r>
            <w:r>
              <w:rPr>
                <w:sz w:val="20"/>
              </w:rPr>
              <w:t xml:space="preserve"> </w:t>
            </w:r>
            <w:r>
              <w:rPr>
                <w:sz w:val="20"/>
              </w:rPr>
              <w:t xml:space="preserve">“</w:t>
            </w:r>
            <w:r>
              <w:rPr>
                <w:sz w:val="20"/>
              </w:rPr>
              <w:t xml:space="preserve">personally certify</w:t>
            </w:r>
            <w:r>
              <w:rPr>
                <w:sz w:val="20"/>
              </w:rPr>
              <w:t xml:space="preserve">”</w:t>
            </w:r>
            <w:r>
              <w:rPr>
                <w:sz w:val="20"/>
              </w:rPr>
              <w:t xml:space="preserve"> </w:t>
            </w:r>
            <w:r>
              <w:rPr>
                <w:sz w:val="20"/>
              </w:rPr>
              <w:t xml:space="preserve">compliance; payment of any award from the agency’s own appropriations; a rule that congressional silence does not ratify a compliance position</w:t>
            </w:r>
          </w:p>
        </w:tc>
      </w:tr>
    </w:tbl>
    <w:bookmarkEnd w:id="210"/>
    <w:bookmarkStart w:id="211" w:name="bibliography"/>
    <w:p>
      <w:pPr>
        <w:pStyle w:val="Heading2"/>
      </w:pPr>
      <w:r>
        <w:t xml:space="preserve">Bibliography</w:t>
      </w:r>
    </w:p>
    <w:p>
      <w:pPr>
        <w:pStyle w:val="FirstParagraph"/>
      </w:pPr>
      <w:r>
        <w:t xml:space="preserve">ABC News.</w:t>
      </w:r>
      <w:r>
        <w:t xml:space="preserve"> </w:t>
      </w:r>
      <w:r>
        <w:t xml:space="preserve">“</w:t>
      </w:r>
      <w:r>
        <w:t xml:space="preserve">Ghislaine Maxwell Invokes 5th Amendment in Closed-Door House Oversight Deposition.</w:t>
      </w:r>
      <w:r>
        <w:t xml:space="preserve">”</w:t>
      </w:r>
      <w:r>
        <w:t xml:space="preserve"> </w:t>
      </w:r>
      <w:r>
        <w:t xml:space="preserve">February 9, 2026. https://abcnews.com/Politics/maxwell-expected-invoke-amendment-closed-virtual-house-oversight/story?id=129991066.</w:t>
      </w:r>
    </w:p>
    <w:p>
      <w:pPr>
        <w:pStyle w:val="BodyText"/>
      </w:pPr>
      <w:r>
        <w:t xml:space="preserve">Adams, John.</w:t>
      </w:r>
      <w:r>
        <w:t xml:space="preserve"> </w:t>
      </w:r>
      <w:r>
        <w:rPr>
          <w:iCs/>
          <w:i/>
        </w:rPr>
        <w:t xml:space="preserve">A Defence of the Constitutions of Government of the United States of America</w:t>
      </w:r>
      <w:r>
        <w:t xml:space="preserve">. 1787–88. Reprinted in</w:t>
      </w:r>
      <w:r>
        <w:t xml:space="preserve"> </w:t>
      </w:r>
      <w:r>
        <w:rPr>
          <w:iCs/>
          <w:i/>
        </w:rPr>
        <w:t xml:space="preserve">The Works of John Adams</w:t>
      </w:r>
      <w:r>
        <w:t xml:space="preserve">, edited by Charles Francis Adams, vols. 4–5. Boston: Little, Brown, 1856.</w:t>
      </w:r>
    </w:p>
    <w:p>
      <w:pPr>
        <w:pStyle w:val="BodyText"/>
      </w:pPr>
      <w:r>
        <w:t xml:space="preserve">Al Jazeera Staff.</w:t>
      </w:r>
      <w:r>
        <w:t xml:space="preserve"> </w:t>
      </w:r>
      <w:r>
        <w:t xml:space="preserve">“</w:t>
      </w:r>
      <w:r>
        <w:t xml:space="preserve">Pam Bondi Epstein Hearing: Key Takeaways.</w:t>
      </w:r>
      <w:r>
        <w:t xml:space="preserve">”</w:t>
      </w:r>
      <w:r>
        <w:t xml:space="preserve"> </w:t>
      </w:r>
      <w:r>
        <w:t xml:space="preserve">Al Jazeera, February 12, 2026. https://www.aljazeera.com/news/2026/2/12/pam-bondi-epstein-hearing-key-takeaways.</w:t>
      </w:r>
    </w:p>
    <w:p>
      <w:pPr>
        <w:pStyle w:val="BodyText"/>
      </w:pPr>
      <w:r>
        <w:rPr>
          <w:iCs/>
          <w:i/>
        </w:rPr>
        <w:t xml:space="preserve">Alfred L. Snapp &amp; Son, Inc. v. Puerto Rico ex rel. Barez</w:t>
      </w:r>
      <w:r>
        <w:t xml:space="preserve">. 458 U.S. 592 (1982).</w:t>
      </w:r>
    </w:p>
    <w:p>
      <w:pPr>
        <w:pStyle w:val="BodyText"/>
      </w:pPr>
      <w:r>
        <w:rPr>
          <w:iCs/>
          <w:i/>
        </w:rPr>
        <w:t xml:space="preserve">American Civil Liberties Union v. Central Intelligence Agency</w:t>
      </w:r>
      <w:r>
        <w:t xml:space="preserve">. 823 F.3d 655 (D.C. Cir. 2016).</w:t>
      </w:r>
    </w:p>
    <w:p>
      <w:pPr>
        <w:pStyle w:val="BodyText"/>
      </w:pPr>
      <w:r>
        <w:rPr>
          <w:iCs/>
          <w:i/>
        </w:rPr>
        <w:t xml:space="preserve">American Civil Liberties Union v. Clapper</w:t>
      </w:r>
      <w:r>
        <w:t xml:space="preserve">. 785 F.3d 787 (2d Cir. 2015).</w:t>
      </w:r>
    </w:p>
    <w:p>
      <w:pPr>
        <w:pStyle w:val="BodyText"/>
      </w:pPr>
      <w:r>
        <w:t xml:space="preserve">American Civil Liberties Union.</w:t>
      </w:r>
      <w:r>
        <w:t xml:space="preserve"> </w:t>
      </w:r>
      <w:r>
        <w:t xml:space="preserve">“</w:t>
      </w:r>
      <w:r>
        <w:t xml:space="preserve">CIA Destroyed 92 Interrogation Tapes.</w:t>
      </w:r>
      <w:r>
        <w:t xml:space="preserve">”</w:t>
      </w:r>
      <w:r>
        <w:t xml:space="preserve"> </w:t>
      </w:r>
      <w:r>
        <w:t xml:space="preserve">Press release, March 2, 2009.</w:t>
      </w:r>
    </w:p>
    <w:p>
      <w:pPr>
        <w:pStyle w:val="BodyText"/>
      </w:pPr>
      <w:r>
        <w:t xml:space="preserve">Anckar, Carsten.</w:t>
      </w:r>
      <w:r>
        <w:t xml:space="preserve"> </w:t>
      </w:r>
      <w:r>
        <w:t xml:space="preserve">“</w:t>
      </w:r>
      <w:r>
        <w:t xml:space="preserve">On the Applicability of the Most Similar Systems Design and the Most Different Systems Design in Comparative Research.</w:t>
      </w:r>
      <w:r>
        <w:t xml:space="preserve">”</w:t>
      </w:r>
      <w:r>
        <w:t xml:space="preserve"> </w:t>
      </w:r>
      <w:r>
        <w:rPr>
          <w:iCs/>
          <w:i/>
        </w:rPr>
        <w:t xml:space="preserve">International Journal of Social Research Methodology</w:t>
      </w:r>
      <w:r>
        <w:t xml:space="preserve"> </w:t>
      </w:r>
      <w:r>
        <w:t xml:space="preserve">11, no. 5 (2008): 389–401.</w:t>
      </w:r>
    </w:p>
    <w:p>
      <w:pPr>
        <w:pStyle w:val="BodyText"/>
      </w:pPr>
      <w:r>
        <w:rPr>
          <w:iCs/>
          <w:i/>
        </w:rPr>
        <w:t xml:space="preserve">Anderson v. Dunn</w:t>
      </w:r>
      <w:r>
        <w:t xml:space="preserve">. 19 U.S. (6 Wheat.) 204 (1821).</w:t>
      </w:r>
    </w:p>
    <w:p>
      <w:pPr>
        <w:pStyle w:val="BodyText"/>
      </w:pPr>
      <w:r>
        <w:rPr>
          <w:iCs/>
          <w:i/>
        </w:rPr>
        <w:t xml:space="preserve">Ash-Shiraa</w:t>
      </w:r>
      <w:r>
        <w:t xml:space="preserve"> </w:t>
      </w:r>
      <w:r>
        <w:t xml:space="preserve">(Beirut). Report on U.S. arms transfers to Iran. November 3, 1986.</w:t>
      </w:r>
    </w:p>
    <w:p>
      <w:pPr>
        <w:pStyle w:val="BodyText"/>
      </w:pPr>
      <w:r>
        <w:t xml:space="preserve">Associated Press.</w:t>
      </w:r>
      <w:r>
        <w:t xml:space="preserve"> </w:t>
      </w:r>
      <w:r>
        <w:t xml:space="preserve">“</w:t>
      </w:r>
      <w:r>
        <w:t xml:space="preserve">A Look at How the Epstein Files Dogged Pam Bondi’s Time as Attorney General.</w:t>
      </w:r>
      <w:r>
        <w:t xml:space="preserve">”</w:t>
      </w:r>
      <w:r>
        <w:t xml:space="preserve"> </w:t>
      </w:r>
      <w:r>
        <w:t xml:space="preserve">PBS NewsHour, April 3, 2026. https://www.pbs.org/newshour/politics/a-look-at-how-the-epstein-files-dogged-pam-bondis-time-as-attorney-general.</w:t>
      </w:r>
    </w:p>
    <w:p>
      <w:pPr>
        <w:pStyle w:val="BodyText"/>
      </w:pPr>
      <w:r>
        <w:t xml:space="preserve">Associated Press.</w:t>
      </w:r>
      <w:r>
        <w:t xml:space="preserve"> </w:t>
      </w:r>
      <w:r>
        <w:t xml:space="preserve">“</w:t>
      </w:r>
      <w:r>
        <w:t xml:space="preserve">Shot Down on 10th Flight, Captured American Says: Asserts CIA Assisted in Operation.</w:t>
      </w:r>
      <w:r>
        <w:t xml:space="preserve">”</w:t>
      </w:r>
      <w:r>
        <w:t xml:space="preserve"> </w:t>
      </w:r>
      <w:r>
        <w:rPr>
          <w:iCs/>
          <w:i/>
        </w:rPr>
        <w:t xml:space="preserve">Los Angeles Times</w:t>
      </w:r>
      <w:r>
        <w:t xml:space="preserve">, October 9, 1986.</w:t>
      </w:r>
    </w:p>
    <w:p>
      <w:pPr>
        <w:pStyle w:val="BodyText"/>
      </w:pPr>
      <w:r>
        <w:t xml:space="preserve">Banks, William C., and Peter Raven-Hansen.</w:t>
      </w:r>
      <w:r>
        <w:t xml:space="preserve"> </w:t>
      </w:r>
      <w:r>
        <w:rPr>
          <w:iCs/>
          <w:i/>
        </w:rPr>
        <w:t xml:space="preserve">National Security Law and the Power of the Purse</w:t>
      </w:r>
      <w:r>
        <w:t xml:space="preserve">. Oxford University Press, 1994. Publisher abstract. https://academic.oup.com/book/50413.</w:t>
      </w:r>
    </w:p>
    <w:p>
      <w:pPr>
        <w:pStyle w:val="BodyText"/>
      </w:pPr>
      <w:r>
        <w:t xml:space="preserve">Barrett, David M.</w:t>
      </w:r>
      <w:r>
        <w:t xml:space="preserve"> </w:t>
      </w:r>
      <w:r>
        <w:rPr>
          <w:iCs/>
          <w:i/>
        </w:rPr>
        <w:t xml:space="preserve">The CIA and Congress: The Untold Story from Truman to Kennedy</w:t>
      </w:r>
      <w:r>
        <w:t xml:space="preserve">. Lawrence: University Press of Kansas, 2005.</w:t>
      </w:r>
    </w:p>
    <w:p>
      <w:pPr>
        <w:pStyle w:val="BodyText"/>
      </w:pPr>
      <w:r>
        <w:rPr>
          <w:iCs/>
          <w:i/>
        </w:rPr>
        <w:t xml:space="preserve">Bassett v. United States</w:t>
      </w:r>
      <w:r>
        <w:t xml:space="preserve">. 137 U.S. 496 (1890).</w:t>
      </w:r>
    </w:p>
    <w:p>
      <w:pPr>
        <w:pStyle w:val="BodyText"/>
      </w:pPr>
      <w:r>
        <w:t xml:space="preserve">Binder &amp; Schwartz. Letter concerning third-party opposition to grand-jury unsealing in</w:t>
      </w:r>
      <w:r>
        <w:t xml:space="preserve"> </w:t>
      </w:r>
      <w:r>
        <w:rPr>
          <w:iCs/>
          <w:i/>
        </w:rPr>
        <w:t xml:space="preserve">United States v. Maxwell</w:t>
      </w:r>
      <w:r>
        <w:t xml:space="preserve">. August 5, 2025. DOJ production, Bates DOJ-OGR-00015118–00015122.</w:t>
      </w:r>
    </w:p>
    <w:p>
      <w:pPr>
        <w:pStyle w:val="BodyText"/>
      </w:pPr>
      <w:r>
        <w:rPr>
          <w:iCs/>
          <w:i/>
        </w:rPr>
        <w:t xml:space="preserve">Black v. House Committee on Oversight and Government Reform</w:t>
      </w:r>
      <w:r>
        <w:t xml:space="preserve">. No. 1:26-cv-03084. Complaint, September 3, 2026. U.S. District Court for the District of Columbia. https://storage.courtlistener.com/recap/gov.uscourts.dcd.296175/gov.uscourts.dcd.296175.1.0.pdf.</w:t>
      </w:r>
    </w:p>
    <w:p>
      <w:pPr>
        <w:pStyle w:val="BodyText"/>
      </w:pPr>
      <w:r>
        <w:t xml:space="preserve">Bondi, Pamela. Letter to FBI Director Kash Patel requesting the full Epstein files. February 27, 2025.</w:t>
      </w:r>
    </w:p>
    <w:p>
      <w:pPr>
        <w:pStyle w:val="BodyText"/>
      </w:pPr>
      <w:r>
        <w:rPr>
          <w:iCs/>
          <w:i/>
        </w:rPr>
        <w:t xml:space="preserve">Bowsher v. Synar</w:t>
      </w:r>
      <w:r>
        <w:t xml:space="preserve">. 478 U.S. 714 (1986).</w:t>
      </w:r>
    </w:p>
    <w:p>
      <w:pPr>
        <w:pStyle w:val="BodyText"/>
      </w:pPr>
      <w:r>
        <w:t xml:space="preserve">Bradbury, Steven G. Memorandum for the Files,</w:t>
      </w:r>
      <w:r>
        <w:t xml:space="preserve"> </w:t>
      </w:r>
      <w:r>
        <w:t xml:space="preserve">“</w:t>
      </w:r>
      <w:r>
        <w:t xml:space="preserve">Status of Certain OLC Opinions Issued in the Aftermath of the Terrorist Attacks of September 11, 2001.</w:t>
      </w:r>
      <w:r>
        <w:t xml:space="preserve">”</w:t>
      </w:r>
      <w:r>
        <w:t xml:space="preserve"> </w:t>
      </w:r>
      <w:r>
        <w:t xml:space="preserve">Department of Justice, Office of Legal Counsel, January 15, 2009. https://www.justice.gov/sites/default/files/opa/legacy/2009/03/09/memostatusolcopinions01152009.pdf.</w:t>
      </w:r>
    </w:p>
    <w:p>
      <w:pPr>
        <w:pStyle w:val="BodyText"/>
      </w:pPr>
      <w:r>
        <w:t xml:space="preserve">Breen, Kerry.</w:t>
      </w:r>
      <w:r>
        <w:t xml:space="preserve"> </w:t>
      </w:r>
      <w:r>
        <w:t xml:space="preserve">“</w:t>
      </w:r>
      <w:r>
        <w:t xml:space="preserve">Right-Wing Influencers Get Binders Labeled</w:t>
      </w:r>
      <w:r>
        <w:t xml:space="preserve"> </w:t>
      </w:r>
      <w:r>
        <w:t xml:space="preserve">‘</w:t>
      </w:r>
      <w:r>
        <w:t xml:space="preserve">The Epstein Files,</w:t>
      </w:r>
      <w:r>
        <w:t xml:space="preserve">’</w:t>
      </w:r>
      <w:r>
        <w:t xml:space="preserve"> </w:t>
      </w:r>
      <w:r>
        <w:t xml:space="preserve">but Downplay Revelations.</w:t>
      </w:r>
      <w:r>
        <w:t xml:space="preserve">”</w:t>
      </w:r>
      <w:r>
        <w:t xml:space="preserve"> </w:t>
      </w:r>
      <w:r>
        <w:t xml:space="preserve">CBS News, February 27, 2025. https://www.cbsnews.com/news/right-wing-influencers-get-binders-labeled-the-epstein-files-but-downplay-revelations.</w:t>
      </w:r>
    </w:p>
    <w:p>
      <w:pPr>
        <w:pStyle w:val="BodyText"/>
      </w:pPr>
      <w:r>
        <w:t xml:space="preserve">Brown, Julie K.</w:t>
      </w:r>
      <w:r>
        <w:t xml:space="preserve"> </w:t>
      </w:r>
      <w:r>
        <w:t xml:space="preserve">“</w:t>
      </w:r>
      <w:r>
        <w:t xml:space="preserve">Perversion of Justice.</w:t>
      </w:r>
      <w:r>
        <w:t xml:space="preserve">”</w:t>
      </w:r>
      <w:r>
        <w:t xml:space="preserve"> </w:t>
      </w:r>
      <w:r>
        <w:t xml:space="preserve">Investigative series.</w:t>
      </w:r>
      <w:r>
        <w:t xml:space="preserve"> </w:t>
      </w:r>
      <w:r>
        <w:rPr>
          <w:iCs/>
          <w:i/>
        </w:rPr>
        <w:t xml:space="preserve">Miami Herald</w:t>
      </w:r>
      <w:r>
        <w:t xml:space="preserve">, beginning November 28, 2018.</w:t>
      </w:r>
    </w:p>
    <w:p>
      <w:pPr>
        <w:pStyle w:val="BodyText"/>
      </w:pPr>
      <w:r>
        <w:t xml:space="preserve">Brown, Julie K.</w:t>
      </w:r>
      <w:r>
        <w:t xml:space="preserve"> </w:t>
      </w:r>
      <w:r>
        <w:t xml:space="preserve">“</w:t>
      </w:r>
      <w:r>
        <w:t xml:space="preserve">The Architect of DOJ’s Epstein Mess Is Fired.</w:t>
      </w:r>
      <w:r>
        <w:t xml:space="preserve">”</w:t>
      </w:r>
      <w:r>
        <w:t xml:space="preserve"> </w:t>
      </w:r>
      <w:r>
        <w:t xml:space="preserve">April 2, 2026. https://jkbjournalist.substack.com/p/the-architect-of-dojs-epstein-mess.</w:t>
      </w:r>
    </w:p>
    <w:p>
      <w:pPr>
        <w:pStyle w:val="BodyText"/>
      </w:pPr>
      <w:r>
        <w:t xml:space="preserve">Bush, George H. W. Letter to Senator David L. Boren concerning intelligence notification. October 30, 1989.</w:t>
      </w:r>
    </w:p>
    <w:p>
      <w:pPr>
        <w:pStyle w:val="BodyText"/>
      </w:pPr>
      <w:r>
        <w:t xml:space="preserve">Cauley, Leslie.</w:t>
      </w:r>
      <w:r>
        <w:t xml:space="preserve"> </w:t>
      </w:r>
      <w:r>
        <w:t xml:space="preserve">“</w:t>
      </w:r>
      <w:r>
        <w:t xml:space="preserve">NSA Has Massive Database of Americans’ Phone Calls.</w:t>
      </w:r>
      <w:r>
        <w:t xml:space="preserve">”</w:t>
      </w:r>
      <w:r>
        <w:t xml:space="preserve"> </w:t>
      </w:r>
      <w:r>
        <w:rPr>
          <w:iCs/>
          <w:i/>
        </w:rPr>
        <w:t xml:space="preserve">USA Today</w:t>
      </w:r>
      <w:r>
        <w:t xml:space="preserve">, May 10, 2006, updated May 11, 2006. https://usatoday30.usatoday.com/news/washington/2006-05-10-nsa_x.htm.</w:t>
      </w:r>
    </w:p>
    <w:p>
      <w:pPr>
        <w:pStyle w:val="BodyText"/>
      </w:pPr>
      <w:r>
        <w:t xml:space="preserve">Chanley, Virginia A., Thomas J. Rudolph, and Wendy M. Rahn.</w:t>
      </w:r>
      <w:r>
        <w:t xml:space="preserve"> </w:t>
      </w:r>
      <w:r>
        <w:t xml:space="preserve">“</w:t>
      </w:r>
      <w:r>
        <w:t xml:space="preserve">The Origins and Consequences of Public Trust in Government: A Time Series Analysis.</w:t>
      </w:r>
      <w:r>
        <w:t xml:space="preserve">”</w:t>
      </w:r>
      <w:r>
        <w:t xml:space="preserve"> </w:t>
      </w:r>
      <w:r>
        <w:rPr>
          <w:iCs/>
          <w:i/>
        </w:rPr>
        <w:t xml:space="preserve">Public Opinion Quarterly</w:t>
      </w:r>
      <w:r>
        <w:t xml:space="preserve"> </w:t>
      </w:r>
      <w:r>
        <w:t xml:space="preserve">64, no. 3 (2000): 239–256.</w:t>
      </w:r>
    </w:p>
    <w:p>
      <w:pPr>
        <w:pStyle w:val="BodyText"/>
      </w:pPr>
      <w:r>
        <w:t xml:space="preserve">Cheney, Richard B. Press gaggle aboard Air Force Two. December 20, 2005. White House transcript.</w:t>
      </w:r>
    </w:p>
    <w:p>
      <w:pPr>
        <w:pStyle w:val="BodyText"/>
      </w:pPr>
      <w:r>
        <w:t xml:space="preserve">Citrin, Jack, and Donald Philip Green.</w:t>
      </w:r>
      <w:r>
        <w:t xml:space="preserve"> </w:t>
      </w:r>
      <w:r>
        <w:t xml:space="preserve">“</w:t>
      </w:r>
      <w:r>
        <w:t xml:space="preserve">Presidential Leadership and the Resurgence of Trust in Government.</w:t>
      </w:r>
      <w:r>
        <w:t xml:space="preserve">”</w:t>
      </w:r>
      <w:r>
        <w:t xml:space="preserve"> </w:t>
      </w:r>
      <w:r>
        <w:rPr>
          <w:iCs/>
          <w:i/>
        </w:rPr>
        <w:t xml:space="preserve">British Journal of Political Science</w:t>
      </w:r>
      <w:r>
        <w:t xml:space="preserve"> </w:t>
      </w:r>
      <w:r>
        <w:t xml:space="preserve">16, no. 4 (1986): 431–453.</w:t>
      </w:r>
    </w:p>
    <w:p>
      <w:pPr>
        <w:pStyle w:val="BodyText"/>
      </w:pPr>
      <w:r>
        <w:t xml:space="preserve">Clark, Kathleen.</w:t>
      </w:r>
      <w:r>
        <w:t xml:space="preserve"> </w:t>
      </w:r>
      <w:r>
        <w:t xml:space="preserve">“</w:t>
      </w:r>
      <w:r>
        <w:t xml:space="preserve">Congressional Access to Intelligence Information: The Appearance of a Check on Executive Power.</w:t>
      </w:r>
      <w:r>
        <w:t xml:space="preserve">”</w:t>
      </w:r>
      <w:r>
        <w:t xml:space="preserve"> </w:t>
      </w:r>
      <w:r>
        <w:t xml:space="preserve">Washington University in St. Louis Legal Studies Research Paper no. 12-07-02, July 2012. https://doi.org/10.2139/ssrn.2112081.</w:t>
      </w:r>
    </w:p>
    <w:p>
      <w:pPr>
        <w:pStyle w:val="BodyText"/>
      </w:pPr>
      <w:r>
        <w:t xml:space="preserve">Clark, Kathleen.</w:t>
      </w:r>
      <w:r>
        <w:t xml:space="preserve"> </w:t>
      </w:r>
      <w:r>
        <w:t xml:space="preserve">“</w:t>
      </w:r>
      <w:r>
        <w:t xml:space="preserve">Congress’s Right to Counsel in Intelligence Oversight.</w:t>
      </w:r>
      <w:r>
        <w:t xml:space="preserve">”</w:t>
      </w:r>
      <w:r>
        <w:t xml:space="preserve"> </w:t>
      </w:r>
      <w:r>
        <w:rPr>
          <w:iCs/>
          <w:i/>
        </w:rPr>
        <w:t xml:space="preserve">University of Illinois Law Review</w:t>
      </w:r>
      <w:r>
        <w:t xml:space="preserve"> </w:t>
      </w:r>
      <w:r>
        <w:t xml:space="preserve">2011, no. 3 (2011): 915–960. https://www.illinoislawreview.org/wp-content/ilr-content/articles/2011/3/Clark.pdf.</w:t>
      </w:r>
    </w:p>
    <w:p>
      <w:pPr>
        <w:pStyle w:val="BodyText"/>
      </w:pPr>
      <w:r>
        <w:t xml:space="preserve">Collier, David.</w:t>
      </w:r>
      <w:r>
        <w:t xml:space="preserve"> </w:t>
      </w:r>
      <w:r>
        <w:t xml:space="preserve">“</w:t>
      </w:r>
      <w:r>
        <w:t xml:space="preserve">Understanding Process Tracing.</w:t>
      </w:r>
      <w:r>
        <w:t xml:space="preserve">”</w:t>
      </w:r>
      <w:r>
        <w:t xml:space="preserve"> </w:t>
      </w:r>
      <w:r>
        <w:rPr>
          <w:iCs/>
          <w:i/>
        </w:rPr>
        <w:t xml:space="preserve">PS: Political Science &amp; Politics</w:t>
      </w:r>
      <w:r>
        <w:t xml:space="preserve"> </w:t>
      </w:r>
      <w:r>
        <w:t xml:space="preserve">44, no. 4 (2011): 823–830.</w:t>
      </w:r>
    </w:p>
    <w:p>
      <w:pPr>
        <w:pStyle w:val="BodyText"/>
      </w:pPr>
      <w:r>
        <w:t xml:space="preserve">Colaresi, Michael P.</w:t>
      </w:r>
      <w:r>
        <w:t xml:space="preserve"> </w:t>
      </w:r>
      <w:r>
        <w:rPr>
          <w:iCs/>
          <w:i/>
        </w:rPr>
        <w:t xml:space="preserve">Democracy Declassified: The Secrecy Dilemma in National Security</w:t>
      </w:r>
      <w:r>
        <w:t xml:space="preserve">. New York: Oxford University Press, 2014.</w:t>
      </w:r>
    </w:p>
    <w:p>
      <w:pPr>
        <w:pStyle w:val="BodyText"/>
      </w:pPr>
      <w:r>
        <w:rPr>
          <w:iCs/>
          <w:i/>
        </w:rPr>
        <w:t xml:space="preserve">Committee on Oversight and Government Reform v. Holder</w:t>
      </w:r>
      <w:r>
        <w:t xml:space="preserve">. 979 F. Supp. 2d 1 (D.D.C. 2013).</w:t>
      </w:r>
    </w:p>
    <w:p>
      <w:pPr>
        <w:pStyle w:val="BodyText"/>
      </w:pPr>
      <w:r>
        <w:rPr>
          <w:iCs/>
          <w:i/>
        </w:rPr>
        <w:t xml:space="preserve">Committee on Oversight and Government Reform v. Lynch</w:t>
      </w:r>
      <w:r>
        <w:t xml:space="preserve">. 156 F. Supp. 3d 101 (D.D.C. 2016), appeal dismissed, No. 16-5078 (D.C. Cir. May 14, 2019).</w:t>
      </w:r>
    </w:p>
    <w:p>
      <w:pPr>
        <w:pStyle w:val="BodyText"/>
      </w:pPr>
      <w:r>
        <w:rPr>
          <w:iCs/>
          <w:i/>
        </w:rPr>
        <w:t xml:space="preserve">Committee on Oversight and Government Reform v. Sessions</w:t>
      </w:r>
      <w:r>
        <w:t xml:space="preserve">. No. 12-cv-1332 (D.D.C. October 22, 2018). Memorandum opinion and order denying vacatur. https://www.govinfo.gov/content/pkg/USCOURTS-dcd-1_12-cv-01332/pdf/USCOURTS-dcd-1_12-cv-01332-2.pdf.</w:t>
      </w:r>
    </w:p>
    <w:p>
      <w:pPr>
        <w:pStyle w:val="BodyText"/>
      </w:pPr>
      <w:r>
        <w:rPr>
          <w:iCs/>
          <w:i/>
        </w:rPr>
        <w:t xml:space="preserve">Committee on the Judiciary v. Garland</w:t>
      </w:r>
      <w:r>
        <w:t xml:space="preserve">. No. 1:24-cv-01911 (D.D.C.). Complaint, July 1, 2024; stipulation of dismissal, ECF 31, May 21, 2025. https://www.courtlistener.com/docket/68903674/committee-on-the-judiciary-of-the-us-house-of-representatives-v-garland/.</w:t>
      </w:r>
    </w:p>
    <w:p>
      <w:pPr>
        <w:pStyle w:val="BodyText"/>
      </w:pPr>
      <w:r>
        <w:rPr>
          <w:iCs/>
          <w:i/>
        </w:rPr>
        <w:t xml:space="preserve">Committee on the Judiciary v. McGahn</w:t>
      </w:r>
      <w:r>
        <w:t xml:space="preserve">. 968 F.3d 755 (D.C. Cir. 2020) (en banc).</w:t>
      </w:r>
    </w:p>
    <w:p>
      <w:pPr>
        <w:pStyle w:val="BodyText"/>
      </w:pPr>
      <w:r>
        <w:rPr>
          <w:iCs/>
          <w:i/>
        </w:rPr>
        <w:t xml:space="preserve">Committee on the Judiciary v. McGahn</w:t>
      </w:r>
      <w:r>
        <w:t xml:space="preserve">. 973 F.3d 121 (D.C. Cir. 2020), judgment vacated on the grant of rehearing en banc, order of October 15, 2020.</w:t>
      </w:r>
    </w:p>
    <w:p>
      <w:pPr>
        <w:pStyle w:val="BodyText"/>
      </w:pPr>
      <w:r>
        <w:rPr>
          <w:iCs/>
          <w:i/>
        </w:rPr>
        <w:t xml:space="preserve">Committee on the Judiciary v. Miers</w:t>
      </w:r>
      <w:r>
        <w:t xml:space="preserve">. 558 F. Supp. 2d 53 (D.D.C. 2008).</w:t>
      </w:r>
    </w:p>
    <w:p>
      <w:pPr>
        <w:pStyle w:val="BodyText"/>
      </w:pPr>
      <w:r>
        <w:t xml:space="preserve">Congress.gov.</w:t>
      </w:r>
      <w:r>
        <w:t xml:space="preserve"> </w:t>
      </w:r>
      <w:r>
        <w:t xml:space="preserve">“</w:t>
      </w:r>
      <w:r>
        <w:t xml:space="preserve">H.R.4405 — Epstein Files Transparency Act: All Actions.</w:t>
      </w:r>
      <w:r>
        <w:t xml:space="preserve">”</w:t>
      </w:r>
      <w:r>
        <w:t xml:space="preserve"> </w:t>
      </w:r>
      <w:r>
        <w:t xml:space="preserve">https://www.congress.gov/bill/119th-congress/house-bill/4405/all-actions.</w:t>
      </w:r>
    </w:p>
    <w:p>
      <w:pPr>
        <w:pStyle w:val="BodyText"/>
      </w:pPr>
      <w:r>
        <w:t xml:space="preserve">Cooper, Charles J.</w:t>
      </w:r>
      <w:r>
        <w:t xml:space="preserve"> </w:t>
      </w:r>
      <w:r>
        <w:t xml:space="preserve">“</w:t>
      </w:r>
      <w:r>
        <w:t xml:space="preserve">The President’s Compliance with the</w:t>
      </w:r>
      <w:r>
        <w:t xml:space="preserve"> </w:t>
      </w:r>
      <w:r>
        <w:t xml:space="preserve">‘</w:t>
      </w:r>
      <w:r>
        <w:t xml:space="preserve">Timely Notification</w:t>
      </w:r>
      <w:r>
        <w:t xml:space="preserve">’</w:t>
      </w:r>
      <w:r>
        <w:t xml:space="preserve"> </w:t>
      </w:r>
      <w:r>
        <w:t xml:space="preserve">Requirement of Section 501(b) of the National Security Act.</w:t>
      </w:r>
      <w:r>
        <w:t xml:space="preserve">”</w:t>
      </w:r>
      <w:r>
        <w:t xml:space="preserve"> </w:t>
      </w:r>
      <w:r>
        <w:t xml:space="preserve">Office of Legal Counsel opinion, December 17, 1986.</w:t>
      </w:r>
    </w:p>
    <w:p>
      <w:pPr>
        <w:pStyle w:val="BodyText"/>
      </w:pPr>
      <w:r>
        <w:t xml:space="preserve">Crawford, Vincent P., and Joel Sobel.</w:t>
      </w:r>
      <w:r>
        <w:t xml:space="preserve"> </w:t>
      </w:r>
      <w:r>
        <w:t xml:space="preserve">“</w:t>
      </w:r>
      <w:r>
        <w:t xml:space="preserve">Strategic Information Transmission.</w:t>
      </w:r>
      <w:r>
        <w:t xml:space="preserve">”</w:t>
      </w:r>
      <w:r>
        <w:t xml:space="preserve"> </w:t>
      </w:r>
      <w:r>
        <w:rPr>
          <w:iCs/>
          <w:i/>
        </w:rPr>
        <w:t xml:space="preserve">Econometrica</w:t>
      </w:r>
      <w:r>
        <w:t xml:space="preserve"> </w:t>
      </w:r>
      <w:r>
        <w:t xml:space="preserve">50, no. 6 (1982): 1431–1451. https://doi.org/10.2307/1913390.</w:t>
      </w:r>
    </w:p>
    <w:p>
      <w:pPr>
        <w:pStyle w:val="BodyText"/>
      </w:pPr>
      <w:r>
        <w:t xml:space="preserve">Cumming, Alfred.</w:t>
      </w:r>
      <w:r>
        <w:t xml:space="preserve"> </w:t>
      </w:r>
      <w:r>
        <w:rPr>
          <w:iCs/>
          <w:i/>
        </w:rPr>
        <w:t xml:space="preserve">Congress as a Consumer of Intelligence Information</w:t>
      </w:r>
      <w:r>
        <w:t xml:space="preserve">. Congressional Research Service Report R40136. January 28, 2010. https://www.everycrsreport.com/files/20100128_R40136_8fa60d28782e3e5beb9c290da190c2578ee2c81f.pdf.</w:t>
      </w:r>
    </w:p>
    <w:p>
      <w:pPr>
        <w:pStyle w:val="BodyText"/>
      </w:pPr>
      <w:r>
        <w:t xml:space="preserve">Currie, James T.</w:t>
      </w:r>
      <w:r>
        <w:t xml:space="preserve"> </w:t>
      </w:r>
      <w:r>
        <w:t xml:space="preserve">“</w:t>
      </w:r>
      <w:r>
        <w:t xml:space="preserve">Iran-Contra and Congressional Oversight of the CIA.</w:t>
      </w:r>
      <w:r>
        <w:t xml:space="preserve">”</w:t>
      </w:r>
      <w:r>
        <w:t xml:space="preserve"> </w:t>
      </w:r>
      <w:r>
        <w:rPr>
          <w:iCs/>
          <w:i/>
        </w:rPr>
        <w:t xml:space="preserve">International Journal of Intelligence and CounterIntelligence</w:t>
      </w:r>
      <w:r>
        <w:t xml:space="preserve"> </w:t>
      </w:r>
      <w:r>
        <w:t xml:space="preserve">11, no. 2 (1998): 185–210. https://doi.org/10.1080/08850609808435372.</w:t>
      </w:r>
    </w:p>
    <w:p>
      <w:pPr>
        <w:pStyle w:val="BodyText"/>
      </w:pPr>
      <w:r>
        <w:rPr>
          <w:iCs/>
          <w:i/>
        </w:rPr>
        <w:t xml:space="preserve">Department of Agriculture Rural Development Rural Housing Service v. Kirtz</w:t>
      </w:r>
      <w:r>
        <w:t xml:space="preserve">. 601 U.S. 42 (2024).</w:t>
      </w:r>
    </w:p>
    <w:p>
      <w:pPr>
        <w:pStyle w:val="BodyText"/>
      </w:pPr>
      <w:r>
        <w:rPr>
          <w:iCs/>
          <w:i/>
        </w:rPr>
        <w:t xml:space="preserve">Department of the Navy v. Egan</w:t>
      </w:r>
      <w:r>
        <w:t xml:space="preserve">. 484 U.S. 518 (1988).</w:t>
      </w:r>
    </w:p>
    <w:p>
      <w:pPr>
        <w:pStyle w:val="BodyText"/>
      </w:pPr>
      <w:r>
        <w:t xml:space="preserve">DeRosa, Mary B.</w:t>
      </w:r>
      <w:r>
        <w:t xml:space="preserve"> </w:t>
      </w:r>
      <w:r>
        <w:t xml:space="preserve">“</w:t>
      </w:r>
      <w:r>
        <w:t xml:space="preserve">Congressional Oversight of US Intelligence Activities.</w:t>
      </w:r>
      <w:r>
        <w:t xml:space="preserve">”</w:t>
      </w:r>
      <w:r>
        <w:t xml:space="preserve"> </w:t>
      </w:r>
      <w:r>
        <w:t xml:space="preserve">In</w:t>
      </w:r>
      <w:r>
        <w:t xml:space="preserve"> </w:t>
      </w:r>
      <w:r>
        <w:rPr>
          <w:iCs/>
          <w:i/>
        </w:rPr>
        <w:t xml:space="preserve">National Security Intelligence and Ethics</w:t>
      </w:r>
      <w:r>
        <w:t xml:space="preserve">, edited by Seumas Miller, Mitt Regan, and Patrick F. Walsh, 216–231. Abingdon: Routledge, 2022. Published online November 8, 2021. https://doi.org/10.4324/9781003164197-19.</w:t>
      </w:r>
    </w:p>
    <w:p>
      <w:pPr>
        <w:pStyle w:val="BodyText"/>
      </w:pPr>
      <w:r>
        <w:t xml:space="preserve">Devins, Neal.</w:t>
      </w:r>
      <w:r>
        <w:t xml:space="preserve"> </w:t>
      </w:r>
      <w:r>
        <w:t xml:space="preserve">“</w:t>
      </w:r>
      <w:r>
        <w:t xml:space="preserve">Congressional-Executive Information Access Disputes: A Modest Proposal—Do Nothing.</w:t>
      </w:r>
      <w:r>
        <w:t xml:space="preserve">”</w:t>
      </w:r>
      <w:r>
        <w:t xml:space="preserve"> </w:t>
      </w:r>
      <w:r>
        <w:rPr>
          <w:iCs/>
          <w:i/>
        </w:rPr>
        <w:t xml:space="preserve">Administrative Law Review</w:t>
      </w:r>
      <w:r>
        <w:t xml:space="preserve"> </w:t>
      </w:r>
      <w:r>
        <w:t xml:space="preserve">48 (1996): 109–137.</w:t>
      </w:r>
    </w:p>
    <w:p>
      <w:pPr>
        <w:pStyle w:val="BodyText"/>
      </w:pPr>
      <w:r>
        <w:rPr>
          <w:iCs/>
          <w:i/>
        </w:rPr>
        <w:t xml:space="preserve">Doe 1 v. United States</w:t>
      </w:r>
      <w:r>
        <w:t xml:space="preserve">. 359 F. Supp. 3d 1201 (S.D. Fla. 2019). No. 9:08-cv-80736, opinion of February 21, 2019.</w:t>
      </w:r>
    </w:p>
    <w:p>
      <w:pPr>
        <w:pStyle w:val="BodyText"/>
      </w:pPr>
      <w:r>
        <w:rPr>
          <w:iCs/>
          <w:i/>
        </w:rPr>
        <w:t xml:space="preserve">Doe v. Chao</w:t>
      </w:r>
      <w:r>
        <w:t xml:space="preserve">. 540 U.S. 614 (2004).</w:t>
      </w:r>
    </w:p>
    <w:p>
      <w:pPr>
        <w:pStyle w:val="BodyText"/>
      </w:pPr>
      <w:r>
        <w:t xml:space="preserve">ElSheshai, Alan.</w:t>
      </w:r>
      <w:r>
        <w:t xml:space="preserve"> </w:t>
      </w:r>
      <w:r>
        <w:rPr>
          <w:iCs/>
          <w:i/>
        </w:rPr>
        <w:t xml:space="preserve">Assessment of the Epstein Files Transparency Act II: H.R. 9694 / S. 5005</w:t>
      </w:r>
      <w:r>
        <w:t xml:space="preserve">. EFTA II Memo, version 2.8.7, September 20, 2026. Parallax Publications, 2026-10 edition. https://publications.disclosureworks.ai/legislation/efta-ii-memo/2026-10/.</w:t>
      </w:r>
    </w:p>
    <w:p>
      <w:pPr>
        <w:pStyle w:val="BodyText"/>
      </w:pPr>
      <w:r>
        <w:t xml:space="preserve">ElSheshai, Alan. Detector tuning evaluation. June 9, 2026. Unpublished local evaluation held with the paper’s review record. Available on request.</w:t>
      </w:r>
    </w:p>
    <w:p>
      <w:pPr>
        <w:pStyle w:val="BodyText"/>
      </w:pPr>
      <w:r>
        <w:t xml:space="preserve">ElSheshai, Alan. Document Set A recomputation and guidance-copy recount. September 30, 2026. Unpublished record held with the paper’s review record. Available on request.</w:t>
      </w:r>
    </w:p>
    <w:p>
      <w:pPr>
        <w:pStyle w:val="BodyText"/>
      </w:pPr>
      <w:r>
        <w:t xml:space="preserve">ElSheshai, Alan.</w:t>
      </w:r>
      <w:r>
        <w:t xml:space="preserve"> </w:t>
      </w:r>
      <w:r>
        <w:rPr>
          <w:iCs/>
          <w:i/>
        </w:rPr>
        <w:t xml:space="preserve">EFTA Document-Count Reconciliation</w:t>
      </w:r>
      <w:r>
        <w:t xml:space="preserve">. June 28, 2026. Content version 2796439c2001. Unpublished supplement held with the paper’s review record. Available on request.</w:t>
      </w:r>
    </w:p>
    <w:p>
      <w:pPr>
        <w:pStyle w:val="BodyText"/>
      </w:pPr>
      <w:r>
        <w:t xml:space="preserve">ElSheshai, Alan. EFTA fetch record for Bates-EFTA files above EFTA02731789. May 23, 2026. Unpublished acquisition manifest. Available on request.</w:t>
      </w:r>
    </w:p>
    <w:p>
      <w:pPr>
        <w:pStyle w:val="BodyText"/>
      </w:pPr>
      <w:r>
        <w:t xml:space="preserve">ElSheshai, Alan. EFTA full-corpus classification run manifest. June 24, 2026. Unpublished run record. Available on request.</w:t>
      </w:r>
    </w:p>
    <w:p>
      <w:pPr>
        <w:pStyle w:val="BodyText"/>
      </w:pPr>
      <w:r>
        <w:t xml:space="preserve">ElSheshai, Alan.</w:t>
      </w:r>
      <w:r>
        <w:t xml:space="preserve"> </w:t>
      </w:r>
      <w:r>
        <w:rPr>
          <w:iCs/>
          <w:i/>
        </w:rPr>
        <w:t xml:space="preserve">EFTA Redaction-Cluster Population Summary</w:t>
      </w:r>
      <w:r>
        <w:t xml:space="preserve">. Generated May 3, 2026. Unpublished classification summary held with the paper’s review record. Available on request.</w:t>
      </w:r>
    </w:p>
    <w:p>
      <w:pPr>
        <w:pStyle w:val="BodyText"/>
      </w:pPr>
      <w:r>
        <w:t xml:space="preserve">ElSheshai, Alan.</w:t>
      </w:r>
      <w:r>
        <w:t xml:space="preserve"> </w:t>
      </w:r>
      <w:r>
        <w:rPr>
          <w:iCs/>
          <w:i/>
        </w:rPr>
        <w:t xml:space="preserve">Full-Corpus Visual-Redaction Census: Results</w:t>
      </w:r>
      <w:r>
        <w:t xml:space="preserve">. June 11, 2026. Content version 3666abfbe851. Unpublished supplement held with the paper’s review record. Available on request.</w:t>
      </w:r>
    </w:p>
    <w:p>
      <w:pPr>
        <w:pStyle w:val="BodyText"/>
      </w:pPr>
      <w:r>
        <w:t xml:space="preserve">ElSheshai, Alan. Privilege-subcluster classification manifest. June 24, 2026, 02:44:50 UTC. Input TSV SHA-256 75c83cb396e0d4c6efdc379ad261b27be69eba702b291346a3a9c314771b8a89. Unpublished local run manifest. Available on request.</w:t>
      </w:r>
    </w:p>
    <w:p>
      <w:pPr>
        <w:pStyle w:val="BodyText"/>
      </w:pPr>
      <w:r>
        <w:t xml:space="preserve">ElSheshai, Alan. Supporting analyses for</w:t>
      </w:r>
      <w:r>
        <w:t xml:space="preserve"> </w:t>
      </w:r>
      <w:r>
        <w:rPr>
          <w:iCs/>
          <w:i/>
        </w:rPr>
        <w:t xml:space="preserve">National Security Power and Constitutional Imbalance</w:t>
      </w:r>
      <w:r>
        <w:t xml:space="preserve">: three-document OLC citation audit; media file-status accountings of June 2026 (the transcription run and the June 15 regeneration). Unpublished analysis supplements, 2026. Available on request.</w:t>
      </w:r>
    </w:p>
    <w:p>
      <w:pPr>
        <w:pStyle w:val="BodyText"/>
      </w:pPr>
      <w:r>
        <w:t xml:space="preserve">ElSheshai, Alan.</w:t>
      </w:r>
      <w:r>
        <w:t xml:space="preserve"> </w:t>
      </w:r>
      <w:r>
        <w:rPr>
          <w:iCs/>
          <w:i/>
        </w:rPr>
        <w:t xml:space="preserve">VRFA Detector-Recall Validation</w:t>
      </w:r>
      <w:r>
        <w:t xml:space="preserve">. May 31, 2026. Content version 12080b07a9aa. Unpublished supplement held with the paper’s review record. Available on request.</w:t>
      </w:r>
    </w:p>
    <w:p>
      <w:pPr>
        <w:pStyle w:val="BodyText"/>
      </w:pPr>
      <w:r>
        <w:t xml:space="preserve">ElSheshai, Alan.</w:t>
      </w:r>
      <w:r>
        <w:t xml:space="preserve"> </w:t>
      </w:r>
      <w:r>
        <w:rPr>
          <w:iCs/>
          <w:i/>
        </w:rPr>
        <w:t xml:space="preserve">VRFA 120-Page Human Gold-Set Results</w:t>
      </w:r>
      <w:r>
        <w:t xml:space="preserve">. June 1, 2026. Content version d272a4713224. Unpublished supplement held with the paper’s review record. Available on request.</w:t>
      </w:r>
    </w:p>
    <w:p>
      <w:pPr>
        <w:pStyle w:val="BodyText"/>
      </w:pPr>
      <w:r>
        <w:t xml:space="preserve">ElSheshai, Alan.</w:t>
      </w:r>
      <w:r>
        <w:t xml:space="preserve"> </w:t>
      </w:r>
      <w:r>
        <w:rPr>
          <w:iCs/>
          <w:i/>
        </w:rPr>
        <w:t xml:space="preserve">VRFA Residual GPT-4o Rescore</w:t>
      </w:r>
      <w:r>
        <w:t xml:space="preserve">. May 31, 2026. Content version 7791bf386f6a. Unpublished supplement held with the paper’s review record. Available on request.</w:t>
      </w:r>
    </w:p>
    <w:p>
      <w:pPr>
        <w:pStyle w:val="BodyText"/>
      </w:pPr>
      <w:r>
        <w:t xml:space="preserve">ElSheshai, Alan.</w:t>
      </w:r>
      <w:r>
        <w:t xml:space="preserve"> </w:t>
      </w:r>
      <w:r>
        <w:rPr>
          <w:iCs/>
          <w:i/>
        </w:rPr>
        <w:t xml:space="preserve">White-Box Calibration Recompute: Results</w:t>
      </w:r>
      <w:r>
        <w:t xml:space="preserve">. June 26, 2026. Content version a9018094c891. Unpublished supplement held with the paper’s review record. Available on request.</w:t>
      </w:r>
    </w:p>
    <w:p>
      <w:pPr>
        <w:pStyle w:val="BodyText"/>
      </w:pPr>
      <w:r>
        <w:t xml:space="preserve">Epstein-data.com.</w:t>
      </w:r>
      <w:r>
        <w:t xml:space="preserve"> </w:t>
      </w:r>
      <w:r>
        <w:rPr>
          <w:iCs/>
          <w:i/>
        </w:rPr>
        <w:t xml:space="preserve">EFTA Concordance Index</w:t>
      </w:r>
      <w:r>
        <w:t xml:space="preserve">. Version 5.2. Public production index, 2026. https://epstein-data.com/.</w:t>
      </w:r>
    </w:p>
    <w:p>
      <w:pPr>
        <w:pStyle w:val="BodyText"/>
      </w:pPr>
      <w:r>
        <w:rPr>
          <w:iCs/>
          <w:i/>
        </w:rPr>
        <w:t xml:space="preserve">FAA v. Cooper</w:t>
      </w:r>
      <w:r>
        <w:t xml:space="preserve">. 566 U.S. 284 (2012).</w:t>
      </w:r>
    </w:p>
    <w:p>
      <w:pPr>
        <w:pStyle w:val="BodyText"/>
      </w:pPr>
      <w:r>
        <w:rPr>
          <w:iCs/>
          <w:i/>
        </w:rPr>
        <w:t xml:space="preserve">FBI v. Fazaga</w:t>
      </w:r>
      <w:r>
        <w:t xml:space="preserve">. 595 U.S. 344 (2022).</w:t>
      </w:r>
    </w:p>
    <w:p>
      <w:pPr>
        <w:pStyle w:val="BodyText"/>
      </w:pPr>
      <w:r>
        <w:rPr>
          <w:iCs/>
          <w:i/>
        </w:rPr>
        <w:t xml:space="preserve">FEC v. Akins</w:t>
      </w:r>
      <w:r>
        <w:t xml:space="preserve">. 524 U.S. 11 (1998).</w:t>
      </w:r>
    </w:p>
    <w:p>
      <w:pPr>
        <w:pStyle w:val="BodyText"/>
      </w:pPr>
      <w:r>
        <w:t xml:space="preserve">Feinstein, Dianne. Statement on the CIA search of Senate Intelligence Committee computers. Senate floor, March 11, 2014.</w:t>
      </w:r>
      <w:r>
        <w:t xml:space="preserve"> </w:t>
      </w:r>
      <w:r>
        <w:rPr>
          <w:iCs/>
          <w:i/>
        </w:rPr>
        <w:t xml:space="preserve">Congressional Record</w:t>
      </w:r>
      <w:r>
        <w:t xml:space="preserve">.</w:t>
      </w:r>
    </w:p>
    <w:p>
      <w:pPr>
        <w:pStyle w:val="BodyText"/>
      </w:pPr>
      <w:r>
        <w:t xml:space="preserve">Ford, Gerald R. Proclamation 4311, Granting Pardon to Richard Nixon. September 8, 1974.</w:t>
      </w:r>
    </w:p>
    <w:p>
      <w:pPr>
        <w:pStyle w:val="BodyText"/>
      </w:pPr>
      <w:r>
        <w:t xml:space="preserve">Fowler, Linda L.</w:t>
      </w:r>
      <w:r>
        <w:t xml:space="preserve"> </w:t>
      </w:r>
      <w:r>
        <w:rPr>
          <w:iCs/>
          <w:i/>
        </w:rPr>
        <w:t xml:space="preserve">Watchdogs on the Hill: The Decline of Congressional Oversight of U.S. Foreign Relations</w:t>
      </w:r>
      <w:r>
        <w:t xml:space="preserve">. Princeton, NJ: Princeton University Press, 2015.</w:t>
      </w:r>
    </w:p>
    <w:p>
      <w:pPr>
        <w:pStyle w:val="BodyText"/>
      </w:pPr>
      <w:r>
        <w:t xml:space="preserve">Fowler, Stephen.</w:t>
      </w:r>
      <w:r>
        <w:t xml:space="preserve"> </w:t>
      </w:r>
      <w:r>
        <w:t xml:space="preserve">“</w:t>
      </w:r>
      <w:r>
        <w:t xml:space="preserve">DOJ Removed, Withheld Epstein Files Related to Accusations about Trump.</w:t>
      </w:r>
      <w:r>
        <w:t xml:space="preserve">”</w:t>
      </w:r>
      <w:r>
        <w:t xml:space="preserve"> </w:t>
      </w:r>
      <w:r>
        <w:t xml:space="preserve">NPR, February 24, 2026. https://www.npr.org/2026/02/24/nx-s1-5723968/epstein-files-trump-accusation-maxwell.</w:t>
      </w:r>
    </w:p>
    <w:p>
      <w:pPr>
        <w:pStyle w:val="BodyText"/>
      </w:pPr>
      <w:r>
        <w:rPr>
          <w:iCs/>
          <w:i/>
        </w:rPr>
        <w:t xml:space="preserve">Free Enterprise Fund v. Public Company Accounting Oversight Board</w:t>
      </w:r>
      <w:r>
        <w:t xml:space="preserve">. 561 U.S. 477 (2010).</w:t>
      </w:r>
    </w:p>
    <w:p>
      <w:pPr>
        <w:pStyle w:val="BodyText"/>
      </w:pPr>
      <w:r>
        <w:t xml:space="preserve">Garcia, Robert. Letter to Bureau of Prisons Director Marshall concerning the transfer of Ghislaine Maxwell. August 1, 2025. https://oversightdemocrats.house.gov/imo/media/doc/2025-08-01-rg-to-bop-director-marshall-re-maxwell.pdf.</w:t>
      </w:r>
    </w:p>
    <w:p>
      <w:pPr>
        <w:pStyle w:val="BodyText"/>
      </w:pPr>
      <w:r>
        <w:t xml:space="preserve">Garcia, Robert. Letter to Warden Tanisha Hall, Federal Prison Camp Bryan. October 30, 2025. https://oversightdemocrats.house.gov/imo/media/doc/2025-10-30.garcia-to-fpc-bryan-warden-re-maxwell.pdf.</w:t>
      </w:r>
    </w:p>
    <w:p>
      <w:pPr>
        <w:pStyle w:val="BodyText"/>
      </w:pPr>
      <w:r>
        <w:t xml:space="preserve">Garvey, Todd.</w:t>
      </w:r>
      <w:r>
        <w:t xml:space="preserve"> </w:t>
      </w:r>
      <w:r>
        <w:rPr>
          <w:iCs/>
          <w:i/>
        </w:rPr>
        <w:t xml:space="preserve">Congressional Subpoenas: Enforcing Executive Branch Compliance</w:t>
      </w:r>
      <w:r>
        <w:t xml:space="preserve">. Congressional Research Service Report R45653. March 27, 2019. https://www.congress.gov/crs_external_products/R/PDF/R45653/R45653.3.pdf.</w:t>
      </w:r>
    </w:p>
    <w:p>
      <w:pPr>
        <w:pStyle w:val="BodyText"/>
      </w:pPr>
      <w:r>
        <w:t xml:space="preserve">Glennon, Michael J.</w:t>
      </w:r>
      <w:r>
        <w:t xml:space="preserve"> </w:t>
      </w:r>
      <w:r>
        <w:t xml:space="preserve">“</w:t>
      </w:r>
      <w:r>
        <w:t xml:space="preserve">National Security and Double Government.</w:t>
      </w:r>
      <w:r>
        <w:t xml:space="preserve">”</w:t>
      </w:r>
      <w:r>
        <w:t xml:space="preserve"> </w:t>
      </w:r>
      <w:r>
        <w:rPr>
          <w:iCs/>
          <w:i/>
        </w:rPr>
        <w:t xml:space="preserve">Harvard National Security Journal</w:t>
      </w:r>
      <w:r>
        <w:t xml:space="preserve"> </w:t>
      </w:r>
      <w:r>
        <w:t xml:space="preserve">5 (2014): 1–114.</w:t>
      </w:r>
    </w:p>
    <w:p>
      <w:pPr>
        <w:pStyle w:val="BodyText"/>
      </w:pPr>
      <w:r>
        <w:t xml:space="preserve">Glennon, Michael J.</w:t>
      </w:r>
      <w:r>
        <w:t xml:space="preserve"> </w:t>
      </w:r>
      <w:r>
        <w:rPr>
          <w:iCs/>
          <w:i/>
        </w:rPr>
        <w:t xml:space="preserve">National Security and Double Government</w:t>
      </w:r>
      <w:r>
        <w:t xml:space="preserve">. Oxford: Oxford University Press, 2014.</w:t>
      </w:r>
    </w:p>
    <w:p>
      <w:pPr>
        <w:pStyle w:val="BodyText"/>
      </w:pPr>
      <w:r>
        <w:t xml:space="preserve">Goldsmith, Jack.</w:t>
      </w:r>
      <w:r>
        <w:t xml:space="preserve"> </w:t>
      </w:r>
      <w:r>
        <w:rPr>
          <w:iCs/>
          <w:i/>
        </w:rPr>
        <w:t xml:space="preserve">Power and Constraint: The Accountable Presidency after 9/11</w:t>
      </w:r>
      <w:r>
        <w:t xml:space="preserve">. New York: W. W. Norton, 2012.</w:t>
      </w:r>
    </w:p>
    <w:p>
      <w:pPr>
        <w:pStyle w:val="BodyText"/>
      </w:pPr>
      <w:r>
        <w:rPr>
          <w:iCs/>
          <w:i/>
        </w:rPr>
        <w:t xml:space="preserve">Gravel v. United States</w:t>
      </w:r>
      <w:r>
        <w:t xml:space="preserve">. 408 U.S. 606 (1972).</w:t>
      </w:r>
    </w:p>
    <w:p>
      <w:pPr>
        <w:pStyle w:val="BodyText"/>
      </w:pPr>
      <w:r>
        <w:t xml:space="preserve">Greenwald, Glenn.</w:t>
      </w:r>
      <w:r>
        <w:t xml:space="preserve"> </w:t>
      </w:r>
      <w:r>
        <w:t xml:space="preserve">“</w:t>
      </w:r>
      <w:r>
        <w:t xml:space="preserve">NSA Collecting Phone Records of Millions of Verizon Customers Daily.</w:t>
      </w:r>
      <w:r>
        <w:t xml:space="preserve">”</w:t>
      </w:r>
      <w:r>
        <w:t xml:space="preserve"> </w:t>
      </w:r>
      <w:r>
        <w:rPr>
          <w:iCs/>
          <w:i/>
        </w:rPr>
        <w:t xml:space="preserve">Guardian</w:t>
      </w:r>
      <w:r>
        <w:t xml:space="preserve">, June 5, 2013.</w:t>
      </w:r>
    </w:p>
    <w:p>
      <w:pPr>
        <w:pStyle w:val="BodyText"/>
      </w:pPr>
      <w:r>
        <w:t xml:space="preserve">Haberman, Maggie, and Jonathan Swan.</w:t>
      </w:r>
      <w:r>
        <w:t xml:space="preserve"> </w:t>
      </w:r>
      <w:r>
        <w:t xml:space="preserve">“</w:t>
      </w:r>
      <w:r>
        <w:t xml:space="preserve">Inside the White House Freakout Over the Epstein Files.</w:t>
      </w:r>
      <w:r>
        <w:t xml:space="preserve">”</w:t>
      </w:r>
      <w:r>
        <w:t xml:space="preserve"> </w:t>
      </w:r>
      <w:r>
        <w:rPr>
          <w:iCs/>
          <w:i/>
        </w:rPr>
        <w:t xml:space="preserve">New York Times Magazine</w:t>
      </w:r>
      <w:r>
        <w:t xml:space="preserve">, June 10, 2026. https://www.nytimes.com/2026/06/10/magazine/trump-epstein-files-white-house-vance-doj.html.</w:t>
      </w:r>
    </w:p>
    <w:p>
      <w:pPr>
        <w:pStyle w:val="BodyText"/>
      </w:pPr>
      <w:r>
        <w:rPr>
          <w:iCs/>
          <w:i/>
        </w:rPr>
        <w:t xml:space="preserve">Hamdan v. Rumsfeld</w:t>
      </w:r>
      <w:r>
        <w:t xml:space="preserve">. 548 U.S. 557 (2006).</w:t>
      </w:r>
    </w:p>
    <w:p>
      <w:pPr>
        <w:pStyle w:val="BodyText"/>
      </w:pPr>
      <w:r>
        <w:t xml:space="preserve">Hamilton, Alexander.</w:t>
      </w:r>
      <w:r>
        <w:t xml:space="preserve"> </w:t>
      </w:r>
      <w:r>
        <w:t xml:space="preserve">“</w:t>
      </w:r>
      <w:r>
        <w:t xml:space="preserve">No. 70.</w:t>
      </w:r>
      <w:r>
        <w:t xml:space="preserve">”</w:t>
      </w:r>
      <w:r>
        <w:t xml:space="preserve"> </w:t>
      </w:r>
      <w:r>
        <w:t xml:space="preserve">In</w:t>
      </w:r>
      <w:r>
        <w:t xml:space="preserve"> </w:t>
      </w:r>
      <w:r>
        <w:rPr>
          <w:iCs/>
          <w:i/>
        </w:rPr>
        <w:t xml:space="preserve">The Federalist</w:t>
      </w:r>
      <w:r>
        <w:t xml:space="preserve">. 1788.</w:t>
      </w:r>
    </w:p>
    <w:p>
      <w:pPr>
        <w:pStyle w:val="BodyText"/>
      </w:pPr>
      <w:r>
        <w:t xml:space="preserve">“</w:t>
      </w:r>
      <w:r>
        <w:t xml:space="preserve">Helms Fined $2,000, Term Suspended.</w:t>
      </w:r>
      <w:r>
        <w:t xml:space="preserve">”</w:t>
      </w:r>
      <w:r>
        <w:t xml:space="preserve"> </w:t>
      </w:r>
      <w:r>
        <w:rPr>
          <w:iCs/>
          <w:i/>
        </w:rPr>
        <w:t xml:space="preserve">Washington Post</w:t>
      </w:r>
      <w:r>
        <w:t xml:space="preserve">, November 5, 1977. https://www.washingtonpost.com/archive/politics/1977/11/05/helms-fined-2000-term-suspended/cdb385bd-d4a0-45e0-a838-8feb4200fbb9/.</w:t>
      </w:r>
    </w:p>
    <w:p>
      <w:pPr>
        <w:pStyle w:val="BodyText"/>
      </w:pPr>
      <w:r>
        <w:t xml:space="preserve">Hersh, Seymour M.</w:t>
      </w:r>
      <w:r>
        <w:t xml:space="preserve"> </w:t>
      </w:r>
      <w:r>
        <w:t xml:space="preserve">“</w:t>
      </w:r>
      <w:r>
        <w:t xml:space="preserve">Huge C.I.A. Operation Reported in U.S. against Antiwar Forces, Other Dissidents in Nixon Years.</w:t>
      </w:r>
      <w:r>
        <w:t xml:space="preserve">”</w:t>
      </w:r>
      <w:r>
        <w:t xml:space="preserve"> </w:t>
      </w:r>
      <w:r>
        <w:rPr>
          <w:iCs/>
          <w:i/>
        </w:rPr>
        <w:t xml:space="preserve">New York Times</w:t>
      </w:r>
      <w:r>
        <w:t xml:space="preserve">, December 22, 1974, A1.</w:t>
      </w:r>
    </w:p>
    <w:p>
      <w:pPr>
        <w:pStyle w:val="BodyText"/>
      </w:pPr>
      <w:r>
        <w:t xml:space="preserve">Hetherington, Marc J., and Jason A. Husser.</w:t>
      </w:r>
      <w:r>
        <w:t xml:space="preserve"> </w:t>
      </w:r>
      <w:r>
        <w:t xml:space="preserve">“</w:t>
      </w:r>
      <w:r>
        <w:t xml:space="preserve">How Trust Matters: The Changing Political Relevance of Political Trust.</w:t>
      </w:r>
      <w:r>
        <w:t xml:space="preserve">”</w:t>
      </w:r>
      <w:r>
        <w:t xml:space="preserve"> </w:t>
      </w:r>
      <w:r>
        <w:rPr>
          <w:iCs/>
          <w:i/>
        </w:rPr>
        <w:t xml:space="preserve">American Journal of Political Science</w:t>
      </w:r>
      <w:r>
        <w:t xml:space="preserve"> </w:t>
      </w:r>
      <w:r>
        <w:t xml:space="preserve">56, no. 2 (2012): 312–325.</w:t>
      </w:r>
    </w:p>
    <w:p>
      <w:pPr>
        <w:pStyle w:val="BodyText"/>
      </w:pPr>
      <w:r>
        <w:t xml:space="preserve">Hetherington, Marc J.</w:t>
      </w:r>
      <w:r>
        <w:t xml:space="preserve"> </w:t>
      </w:r>
      <w:r>
        <w:t xml:space="preserve">“</w:t>
      </w:r>
      <w:r>
        <w:t xml:space="preserve">The Political Relevance of Political Trust.</w:t>
      </w:r>
      <w:r>
        <w:t xml:space="preserve">”</w:t>
      </w:r>
      <w:r>
        <w:t xml:space="preserve"> </w:t>
      </w:r>
      <w:r>
        <w:rPr>
          <w:iCs/>
          <w:i/>
        </w:rPr>
        <w:t xml:space="preserve">American Political Science Review</w:t>
      </w:r>
      <w:r>
        <w:t xml:space="preserve"> </w:t>
      </w:r>
      <w:r>
        <w:t xml:space="preserve">92, no. 4 (1998): 791–808.</w:t>
      </w:r>
    </w:p>
    <w:p>
      <w:pPr>
        <w:pStyle w:val="BodyText"/>
      </w:pPr>
      <w:r>
        <w:t xml:space="preserve">Hetherington, Marc J.</w:t>
      </w:r>
      <w:r>
        <w:t xml:space="preserve"> </w:t>
      </w:r>
      <w:r>
        <w:rPr>
          <w:iCs/>
          <w:i/>
        </w:rPr>
        <w:t xml:space="preserve">Why Trust Matters: Declining Political Trust and the Demise of American Liberalism</w:t>
      </w:r>
      <w:r>
        <w:t xml:space="preserve">. Princeton, NJ: Princeton University Press, 2005.</w:t>
      </w:r>
    </w:p>
    <w:p>
      <w:pPr>
        <w:pStyle w:val="BodyText"/>
      </w:pPr>
      <w:r>
        <w:rPr>
          <w:iCs/>
          <w:i/>
        </w:rPr>
        <w:t xml:space="preserve">Hickman v. Taylor</w:t>
      </w:r>
      <w:r>
        <w:t xml:space="preserve">. 329 U.S. 495 (1947).</w:t>
      </w:r>
    </w:p>
    <w:p>
      <w:pPr>
        <w:pStyle w:val="BodyText"/>
      </w:pPr>
      <w:r>
        <w:t xml:space="preserve">Hill, James, and Peter Charalambous.</w:t>
      </w:r>
      <w:r>
        <w:t xml:space="preserve"> </w:t>
      </w:r>
      <w:r>
        <w:t xml:space="preserve">“</w:t>
      </w:r>
      <w:r>
        <w:t xml:space="preserve">Epstein Files: DOJ Releases Previously Withheld FBI Reports about Sex Abuse Allegation against Trump.</w:t>
      </w:r>
      <w:r>
        <w:t xml:space="preserve">”</w:t>
      </w:r>
      <w:r>
        <w:t xml:space="preserve"> </w:t>
      </w:r>
      <w:r>
        <w:t xml:space="preserve">ABC News, March 6, 2026.</w:t>
      </w:r>
    </w:p>
    <w:p>
      <w:pPr>
        <w:pStyle w:val="BodyText"/>
      </w:pPr>
      <w:r>
        <w:t xml:space="preserve">Holder, Eric H., Jr. </w:t>
      </w:r>
      <w:r>
        <w:t xml:space="preserve">“</w:t>
      </w:r>
      <w:r>
        <w:t xml:space="preserve">Statement of Attorney General Eric Holder on Closure of Investigation into the Interrogation of Certain Detainees.</w:t>
      </w:r>
      <w:r>
        <w:t xml:space="preserve">”</w:t>
      </w:r>
      <w:r>
        <w:t xml:space="preserve"> </w:t>
      </w:r>
      <w:r>
        <w:t xml:space="preserve">Department of Justice, Office of Public Affairs, August 30, 2012. https://www.justice.gov/opa/pr/2012/August/12-ag-1067.html.</w:t>
      </w:r>
    </w:p>
    <w:p>
      <w:pPr>
        <w:pStyle w:val="BodyText"/>
      </w:pPr>
      <w:r>
        <w:t xml:space="preserve">Hornung, Lisa.</w:t>
      </w:r>
      <w:r>
        <w:t xml:space="preserve"> </w:t>
      </w:r>
      <w:r>
        <w:t xml:space="preserve">“</w:t>
      </w:r>
      <w:r>
        <w:t xml:space="preserve">DOJ Inspector General to Audit Release of Epstein Files.</w:t>
      </w:r>
      <w:r>
        <w:t xml:space="preserve">”</w:t>
      </w:r>
      <w:r>
        <w:t xml:space="preserve"> </w:t>
      </w:r>
      <w:r>
        <w:t xml:space="preserve">UPI, April 23, 2026. https://www.upi.com/Top_News/US/2026/04/23/justice-department-inspector-general-audit-epstein-files-release/7901776973145/.</w:t>
      </w:r>
    </w:p>
    <w:p>
      <w:pPr>
        <w:pStyle w:val="BodyText"/>
      </w:pPr>
      <w:r>
        <w:rPr>
          <w:iCs/>
          <w:i/>
        </w:rPr>
        <w:t xml:space="preserve">Humphrey’s Executor v. United States</w:t>
      </w:r>
      <w:r>
        <w:t xml:space="preserve">. 295 U.S. 602 (1935).</w:t>
      </w:r>
    </w:p>
    <w:p>
      <w:pPr>
        <w:pStyle w:val="BodyText"/>
      </w:pPr>
      <w:r>
        <w:rPr>
          <w:iCs/>
          <w:i/>
        </w:rPr>
        <w:t xml:space="preserve">Hutchinson v. Proxmire</w:t>
      </w:r>
      <w:r>
        <w:t xml:space="preserve">. 443 U.S. 111 (1979).</w:t>
      </w:r>
    </w:p>
    <w:p>
      <w:pPr>
        <w:pStyle w:val="BodyText"/>
      </w:pPr>
      <w:r>
        <w:rPr>
          <w:iCs/>
          <w:i/>
        </w:rPr>
        <w:t xml:space="preserve">In re Craig</w:t>
      </w:r>
      <w:r>
        <w:t xml:space="preserve">. 131 F.3d 99 (2d Cir. 1997).</w:t>
      </w:r>
    </w:p>
    <w:p>
      <w:pPr>
        <w:pStyle w:val="BodyText"/>
      </w:pPr>
      <w:r>
        <w:rPr>
          <w:iCs/>
          <w:i/>
        </w:rPr>
        <w:t xml:space="preserve">In re Grand Jury 05-02 (WPB) &amp; 07-103 (WPB)</w:t>
      </w:r>
      <w:r>
        <w:t xml:space="preserve">. No. 9:25-mc-80920-RLR. Order of July 23, 2025, docket 4. U.S. District Court for the Southern District of Florida.</w:t>
      </w:r>
    </w:p>
    <w:p>
      <w:pPr>
        <w:pStyle w:val="BodyText"/>
      </w:pPr>
      <w:r>
        <w:rPr>
          <w:iCs/>
          <w:i/>
        </w:rPr>
        <w:t xml:space="preserve">In re Wild</w:t>
      </w:r>
      <w:r>
        <w:t xml:space="preserve">. 994 F.3d 1244 (11th Cir. 2021) (en banc). https://media.ca11.uscourts.gov/opinions/pub/files/201913843.enb.pdf.</w:t>
      </w:r>
    </w:p>
    <w:p>
      <w:pPr>
        <w:pStyle w:val="BodyText"/>
      </w:pPr>
      <w:r>
        <w:t xml:space="preserve">Jacobs, Jennifer, et al. </w:t>
      </w:r>
      <w:r>
        <w:t xml:space="preserve">“</w:t>
      </w:r>
      <w:r>
        <w:t xml:space="preserve">Trump Fires Pam Bondi as Attorney General, Installs Todd Blanche as Acting AG.</w:t>
      </w:r>
      <w:r>
        <w:t xml:space="preserve">”</w:t>
      </w:r>
      <w:r>
        <w:t xml:space="preserve"> </w:t>
      </w:r>
      <w:r>
        <w:t xml:space="preserve">CBS News, updated April 2, 2026. https://www.cbsnews.com/news/trump-pam-bondi-attorney-general/.</w:t>
      </w:r>
    </w:p>
    <w:p>
      <w:pPr>
        <w:pStyle w:val="BodyText"/>
      </w:pPr>
      <w:r>
        <w:t xml:space="preserve">Jay, John.</w:t>
      </w:r>
      <w:r>
        <w:t xml:space="preserve"> </w:t>
      </w:r>
      <w:r>
        <w:t xml:space="preserve">“</w:t>
      </w:r>
      <w:r>
        <w:t xml:space="preserve">No. 64.</w:t>
      </w:r>
      <w:r>
        <w:t xml:space="preserve">”</w:t>
      </w:r>
      <w:r>
        <w:t xml:space="preserve"> </w:t>
      </w:r>
      <w:r>
        <w:t xml:space="preserve">In</w:t>
      </w:r>
      <w:r>
        <w:t xml:space="preserve"> </w:t>
      </w:r>
      <w:r>
        <w:rPr>
          <w:iCs/>
          <w:i/>
        </w:rPr>
        <w:t xml:space="preserve">The Federalist</w:t>
      </w:r>
      <w:r>
        <w:t xml:space="preserve">. 1788.</w:t>
      </w:r>
    </w:p>
    <w:p>
      <w:pPr>
        <w:pStyle w:val="BodyText"/>
      </w:pPr>
      <w:r>
        <w:t xml:space="preserve">Johnson, Carrie.</w:t>
      </w:r>
      <w:r>
        <w:t xml:space="preserve"> </w:t>
      </w:r>
      <w:r>
        <w:t xml:space="preserve">“</w:t>
      </w:r>
      <w:r>
        <w:t xml:space="preserve">No Criminal Charges In Senate-CIA Spat, Justice Department Says.</w:t>
      </w:r>
      <w:r>
        <w:t xml:space="preserve">”</w:t>
      </w:r>
      <w:r>
        <w:t xml:space="preserve"> </w:t>
      </w:r>
      <w:r>
        <w:t xml:space="preserve">NPR, July 10, 2014.</w:t>
      </w:r>
    </w:p>
    <w:p>
      <w:pPr>
        <w:pStyle w:val="BodyText"/>
      </w:pPr>
      <w:r>
        <w:t xml:space="preserve">Johnson, Loch K.</w:t>
      </w:r>
      <w:r>
        <w:t xml:space="preserve"> </w:t>
      </w:r>
      <w:r>
        <w:rPr>
          <w:iCs/>
          <w:i/>
        </w:rPr>
        <w:t xml:space="preserve">A Season of Inquiry Revisited: The Church Committee Confronts America’s Spy Agencies</w:t>
      </w:r>
      <w:r>
        <w:t xml:space="preserve">. Lawrence: University Press of Kansas, 2015.</w:t>
      </w:r>
    </w:p>
    <w:p>
      <w:pPr>
        <w:pStyle w:val="BodyText"/>
      </w:pPr>
      <w:r>
        <w:t xml:space="preserve">Johnson, Loch K.</w:t>
      </w:r>
      <w:r>
        <w:t xml:space="preserve"> </w:t>
      </w:r>
      <w:r>
        <w:t xml:space="preserve">“</w:t>
      </w:r>
      <w:r>
        <w:t xml:space="preserve">Accountability and America’s Secret Foreign Policy: Keeping a Legislative Eye on the Central Intelligence Agency.</w:t>
      </w:r>
      <w:r>
        <w:t xml:space="preserve">”</w:t>
      </w:r>
      <w:r>
        <w:t xml:space="preserve"> </w:t>
      </w:r>
      <w:r>
        <w:rPr>
          <w:iCs/>
          <w:i/>
        </w:rPr>
        <w:t xml:space="preserve">Foreign Policy Analysis</w:t>
      </w:r>
      <w:r>
        <w:t xml:space="preserve"> </w:t>
      </w:r>
      <w:r>
        <w:t xml:space="preserve">1, no. 1 (2005): 99–120.</w:t>
      </w:r>
    </w:p>
    <w:p>
      <w:pPr>
        <w:pStyle w:val="BodyText"/>
      </w:pPr>
      <w:r>
        <w:t xml:space="preserve">Johnson, Loch K.</w:t>
      </w:r>
      <w:r>
        <w:t xml:space="preserve"> </w:t>
      </w:r>
      <w:r>
        <w:rPr>
          <w:iCs/>
          <w:i/>
        </w:rPr>
        <w:t xml:space="preserve">Spy Watching: Intelligence Accountability in the United States</w:t>
      </w:r>
      <w:r>
        <w:t xml:space="preserve">. Oxford: Oxford University Press, 2018.</w:t>
      </w:r>
    </w:p>
    <w:p>
      <w:pPr>
        <w:pStyle w:val="BodyText"/>
      </w:pPr>
      <w:r>
        <w:rPr>
          <w:iCs/>
          <w:i/>
        </w:rPr>
        <w:t xml:space="preserve">Jurney v. MacCracken</w:t>
      </w:r>
      <w:r>
        <w:t xml:space="preserve">. 294 U.S. 125 (1935).</w:t>
      </w:r>
    </w:p>
    <w:p>
      <w:pPr>
        <w:pStyle w:val="BodyText"/>
      </w:pPr>
      <w:r>
        <w:rPr>
          <w:iCs/>
          <w:i/>
        </w:rPr>
        <w:t xml:space="preserve">Kastigar v. United States</w:t>
      </w:r>
      <w:r>
        <w:t xml:space="preserve">. 406 U.S. 441 (1972).</w:t>
      </w:r>
    </w:p>
    <w:p>
      <w:pPr>
        <w:pStyle w:val="BodyText"/>
      </w:pPr>
      <w:r>
        <w:t xml:space="preserve">Khanna, Ro. Letter to Chairman James Comer concerning the deposition of Ghislaine Maxwell. February 8, 2026. https://khanna.house.gov/sites/evo-subsites/khanna.house.gov/files/evo-media-document/rep-khanna-letter-to-chair-comer-re-maxwell-deposition-88.pdf.</w:t>
      </w:r>
    </w:p>
    <w:p>
      <w:pPr>
        <w:pStyle w:val="BodyText"/>
      </w:pPr>
      <w:r>
        <w:t xml:space="preserve">Kibbe, Jennifer.</w:t>
      </w:r>
      <w:r>
        <w:t xml:space="preserve"> </w:t>
      </w:r>
      <w:r>
        <w:t xml:space="preserve">“</w:t>
      </w:r>
      <w:r>
        <w:t xml:space="preserve">Congressional Oversight of Intelligence: Is the Solution Part of the Problem?</w:t>
      </w:r>
      <w:r>
        <w:t xml:space="preserve">”</w:t>
      </w:r>
      <w:r>
        <w:t xml:space="preserve"> </w:t>
      </w:r>
      <w:r>
        <w:rPr>
          <w:iCs/>
          <w:i/>
        </w:rPr>
        <w:t xml:space="preserve">Intelligence and National Security</w:t>
      </w:r>
      <w:r>
        <w:t xml:space="preserve"> </w:t>
      </w:r>
      <w:r>
        <w:t xml:space="preserve">25, no. 1 (2010): 24–49.</w:t>
      </w:r>
    </w:p>
    <w:p>
      <w:pPr>
        <w:pStyle w:val="BodyText"/>
      </w:pPr>
      <w:r>
        <w:t xml:space="preserve">Kitrosser, Heidi.</w:t>
      </w:r>
      <w:r>
        <w:t xml:space="preserve"> </w:t>
      </w:r>
      <w:r>
        <w:t xml:space="preserve">“</w:t>
      </w:r>
      <w:r>
        <w:t xml:space="preserve">Congressional Oversight of National Security Activities: Improving Information Funnels.</w:t>
      </w:r>
      <w:r>
        <w:t xml:space="preserve">”</w:t>
      </w:r>
      <w:r>
        <w:t xml:space="preserve"> </w:t>
      </w:r>
      <w:r>
        <w:rPr>
          <w:iCs/>
          <w:i/>
        </w:rPr>
        <w:t xml:space="preserve">Cardozo Law Review</w:t>
      </w:r>
      <w:r>
        <w:t xml:space="preserve"> </w:t>
      </w:r>
      <w:r>
        <w:t xml:space="preserve">29, no. 3 (2008): 1049–1090. https://scholarship.law.umn.edu/faculty_articles/86/.</w:t>
      </w:r>
    </w:p>
    <w:p>
      <w:pPr>
        <w:pStyle w:val="BodyText"/>
      </w:pPr>
      <w:r>
        <w:t xml:space="preserve">Kitrosser, Heidi.</w:t>
      </w:r>
      <w:r>
        <w:t xml:space="preserve"> </w:t>
      </w:r>
      <w:r>
        <w:rPr>
          <w:iCs/>
          <w:i/>
        </w:rPr>
        <w:t xml:space="preserve">Reclaiming Accountability: Transparency, Executive Power, and the U.S. Constitution</w:t>
      </w:r>
      <w:r>
        <w:t xml:space="preserve">. Chicago: University of Chicago Press, 2015.</w:t>
      </w:r>
    </w:p>
    <w:p>
      <w:pPr>
        <w:pStyle w:val="BodyText"/>
      </w:pPr>
      <w:r>
        <w:rPr>
          <w:iCs/>
          <w:i/>
        </w:rPr>
        <w:t xml:space="preserve">Klayman v. Obama</w:t>
      </w:r>
      <w:r>
        <w:t xml:space="preserve">. 800 F.3d 559 (D.C. Cir. 2015).</w:t>
      </w:r>
    </w:p>
    <w:p>
      <w:pPr>
        <w:pStyle w:val="BodyText"/>
      </w:pPr>
      <w:r>
        <w:t xml:space="preserve">Knight, Jack.</w:t>
      </w:r>
      <w:r>
        <w:t xml:space="preserve"> </w:t>
      </w:r>
      <w:r>
        <w:rPr>
          <w:iCs/>
          <w:i/>
        </w:rPr>
        <w:t xml:space="preserve">Institutions and Social Conflict</w:t>
      </w:r>
      <w:r>
        <w:t xml:space="preserve">. Cambridge: Cambridge University Press, 1992.</w:t>
      </w:r>
    </w:p>
    <w:p>
      <w:pPr>
        <w:pStyle w:val="BodyText"/>
      </w:pPr>
      <w:r>
        <w:t xml:space="preserve">Koh, Harold Hongju.</w:t>
      </w:r>
      <w:r>
        <w:t xml:space="preserve"> </w:t>
      </w:r>
      <w:r>
        <w:t xml:space="preserve">“</w:t>
      </w:r>
      <w:r>
        <w:t xml:space="preserve">Why the President (Almost) Always Wins in Foreign Affairs: Lessons of the Iran-Contra Affair.</w:t>
      </w:r>
      <w:r>
        <w:t xml:space="preserve">”</w:t>
      </w:r>
      <w:r>
        <w:t xml:space="preserve"> </w:t>
      </w:r>
      <w:r>
        <w:rPr>
          <w:iCs/>
          <w:i/>
        </w:rPr>
        <w:t xml:space="preserve">Yale Law Journal</w:t>
      </w:r>
      <w:r>
        <w:t xml:space="preserve"> </w:t>
      </w:r>
      <w:r>
        <w:t xml:space="preserve">97 (1988): 1255–1342.</w:t>
      </w:r>
    </w:p>
    <w:p>
      <w:pPr>
        <w:pStyle w:val="BodyText"/>
      </w:pPr>
      <w:r>
        <w:t xml:space="preserve">Kriner, Douglas L., and Eric Schickler.</w:t>
      </w:r>
      <w:r>
        <w:t xml:space="preserve"> </w:t>
      </w:r>
      <w:r>
        <w:rPr>
          <w:iCs/>
          <w:i/>
        </w:rPr>
        <w:t xml:space="preserve">Investigating the President: Congressional Checks on Presidential Power</w:t>
      </w:r>
      <w:r>
        <w:t xml:space="preserve">. Princeton, NJ: Princeton University Press, 2016.</w:t>
      </w:r>
    </w:p>
    <w:p>
      <w:pPr>
        <w:pStyle w:val="BodyText"/>
      </w:pPr>
      <w:r>
        <w:t xml:space="preserve">Lee, Summer. Amendment no. 3 offered at the House Committee on Oversight and Government Reform markup. January 21, 2026. https://docs.house.gov/meetings/GO/GO00/20260121/118877/BILLS-119-WJCContemptReport-L000602-Amdt-3.pdf.</w:t>
      </w:r>
    </w:p>
    <w:p>
      <w:pPr>
        <w:pStyle w:val="BodyText"/>
      </w:pPr>
      <w:r>
        <w:t xml:space="preserve">Lester, Genevieve.</w:t>
      </w:r>
      <w:r>
        <w:t xml:space="preserve"> </w:t>
      </w:r>
      <w:r>
        <w:rPr>
          <w:iCs/>
          <w:i/>
        </w:rPr>
        <w:t xml:space="preserve">When Should State Secrets Stay Secret? Accountability, Democratic Governance, and Intelligence</w:t>
      </w:r>
      <w:r>
        <w:t xml:space="preserve">. Cambridge: Cambridge University Press, 2015.</w:t>
      </w:r>
    </w:p>
    <w:p>
      <w:pPr>
        <w:pStyle w:val="BodyText"/>
      </w:pPr>
      <w:r>
        <w:t xml:space="preserve">Levinson, Daryl J., and Richard H. Pildes.</w:t>
      </w:r>
      <w:r>
        <w:t xml:space="preserve"> </w:t>
      </w:r>
      <w:r>
        <w:t xml:space="preserve">“</w:t>
      </w:r>
      <w:r>
        <w:t xml:space="preserve">Separation of Parties, Not Powers.</w:t>
      </w:r>
      <w:r>
        <w:t xml:space="preserve">”</w:t>
      </w:r>
      <w:r>
        <w:t xml:space="preserve"> </w:t>
      </w:r>
      <w:r>
        <w:rPr>
          <w:iCs/>
          <w:i/>
        </w:rPr>
        <w:t xml:space="preserve">Harvard Law Review</w:t>
      </w:r>
      <w:r>
        <w:t xml:space="preserve"> </w:t>
      </w:r>
      <w:r>
        <w:t xml:space="preserve">119 (2006): 2311–2386.</w:t>
      </w:r>
    </w:p>
    <w:p>
      <w:pPr>
        <w:pStyle w:val="BodyText"/>
      </w:pPr>
      <w:r>
        <w:t xml:space="preserve">Levitsky, Steven, and Daniel Ziblatt.</w:t>
      </w:r>
      <w:r>
        <w:t xml:space="preserve"> </w:t>
      </w:r>
      <w:r>
        <w:rPr>
          <w:iCs/>
          <w:i/>
        </w:rPr>
        <w:t xml:space="preserve">How Democracies Die</w:t>
      </w:r>
      <w:r>
        <w:t xml:space="preserve">. New York: Crown, 2018.</w:t>
      </w:r>
    </w:p>
    <w:p>
      <w:pPr>
        <w:pStyle w:val="BodyText"/>
      </w:pPr>
      <w:r>
        <w:rPr>
          <w:iCs/>
          <w:i/>
        </w:rPr>
        <w:t xml:space="preserve">Lugosch v. Pyramid Co. of Onondaga</w:t>
      </w:r>
      <w:r>
        <w:t xml:space="preserve">. 435 F.3d 110 (2d Cir. 2006).</w:t>
      </w:r>
    </w:p>
    <w:p>
      <w:pPr>
        <w:pStyle w:val="BodyText"/>
      </w:pPr>
      <w:r>
        <w:rPr>
          <w:iCs/>
          <w:i/>
        </w:rPr>
        <w:t xml:space="preserve">Lujan v. Defenders of Wildlife</w:t>
      </w:r>
      <w:r>
        <w:t xml:space="preserve">. 504 U.S. 555 (1992).</w:t>
      </w:r>
    </w:p>
    <w:p>
      <w:pPr>
        <w:pStyle w:val="BodyText"/>
      </w:pPr>
      <w:r>
        <w:t xml:space="preserve">Madden, Mary.</w:t>
      </w:r>
      <w:r>
        <w:t xml:space="preserve"> </w:t>
      </w:r>
      <w:r>
        <w:t xml:space="preserve">“</w:t>
      </w:r>
      <w:r>
        <w:t xml:space="preserve">Public Perceptions of Privacy and Security in the Post-Snowden Era.</w:t>
      </w:r>
      <w:r>
        <w:t xml:space="preserve">”</w:t>
      </w:r>
      <w:r>
        <w:t xml:space="preserve"> </w:t>
      </w:r>
      <w:r>
        <w:t xml:space="preserve">Pew Research Center, November 12, 2014. https://www.pewresearch.org/internet/2014/11/12/public-privacy-perceptions/.</w:t>
      </w:r>
    </w:p>
    <w:p>
      <w:pPr>
        <w:pStyle w:val="BodyText"/>
      </w:pPr>
      <w:r>
        <w:t xml:space="preserve">Madison, James.</w:t>
      </w:r>
      <w:r>
        <w:t xml:space="preserve"> </w:t>
      </w:r>
      <w:r>
        <w:t xml:space="preserve">“</w:t>
      </w:r>
      <w:r>
        <w:t xml:space="preserve">No. 51.</w:t>
      </w:r>
      <w:r>
        <w:t xml:space="preserve">”</w:t>
      </w:r>
      <w:r>
        <w:t xml:space="preserve"> </w:t>
      </w:r>
      <w:r>
        <w:t xml:space="preserve">In</w:t>
      </w:r>
      <w:r>
        <w:t xml:space="preserve"> </w:t>
      </w:r>
      <w:r>
        <w:rPr>
          <w:iCs/>
          <w:i/>
        </w:rPr>
        <w:t xml:space="preserve">The Federalist</w:t>
      </w:r>
      <w:r>
        <w:t xml:space="preserve">. 1788.</w:t>
      </w:r>
    </w:p>
    <w:p>
      <w:pPr>
        <w:pStyle w:val="BodyText"/>
      </w:pPr>
      <w:r>
        <w:t xml:space="preserve">Mahoney, James, and Gary Goertz.</w:t>
      </w:r>
      <w:r>
        <w:t xml:space="preserve"> </w:t>
      </w:r>
      <w:r>
        <w:t xml:space="preserve">“</w:t>
      </w:r>
      <w:r>
        <w:t xml:space="preserve">A Tale of Two Cultures: Contrasting Quantitative and Qualitative Research.</w:t>
      </w:r>
      <w:r>
        <w:t xml:space="preserve">”</w:t>
      </w:r>
      <w:r>
        <w:t xml:space="preserve"> </w:t>
      </w:r>
      <w:r>
        <w:rPr>
          <w:iCs/>
          <w:i/>
        </w:rPr>
        <w:t xml:space="preserve">Political Analysis</w:t>
      </w:r>
      <w:r>
        <w:t xml:space="preserve"> </w:t>
      </w:r>
      <w:r>
        <w:t xml:space="preserve">14, no. 3 (2006): 227–249.</w:t>
      </w:r>
    </w:p>
    <w:p>
      <w:pPr>
        <w:pStyle w:val="BodyText"/>
      </w:pPr>
      <w:r>
        <w:rPr>
          <w:iCs/>
          <w:i/>
        </w:rPr>
        <w:t xml:space="preserve">Maloney v. Murphy</w:t>
      </w:r>
      <w:r>
        <w:t xml:space="preserve">. 984 F.3d 50 (D.C. Cir. 2020), vacated sub nom.</w:t>
      </w:r>
      <w:r>
        <w:t xml:space="preserve"> </w:t>
      </w:r>
      <w:r>
        <w:rPr>
          <w:iCs/>
          <w:i/>
        </w:rPr>
        <w:t xml:space="preserve">Carnahan v. Maloney</w:t>
      </w:r>
      <w:r>
        <w:t xml:space="preserve">, No. 22-425 (U.S. June 26, 2023).</w:t>
      </w:r>
    </w:p>
    <w:p>
      <w:pPr>
        <w:pStyle w:val="BodyText"/>
      </w:pPr>
      <w:r>
        <w:t xml:space="preserve">Marchetti, Victor, and John D. Marks.</w:t>
      </w:r>
      <w:r>
        <w:t xml:space="preserve"> </w:t>
      </w:r>
      <w:r>
        <w:rPr>
          <w:iCs/>
          <w:i/>
        </w:rPr>
        <w:t xml:space="preserve">The CIA and the Cult of Intelligence</w:t>
      </w:r>
      <w:r>
        <w:t xml:space="preserve">. New York: Alfred A. Knopf, 1974.</w:t>
      </w:r>
    </w:p>
    <w:p>
      <w:pPr>
        <w:pStyle w:val="BodyText"/>
      </w:pPr>
      <w:r>
        <w:t xml:space="preserve">Margolis, David. Memorandum reviewing the Office of Professional Responsibility’s report on OLC interrogation opinions. Department of Justice, January 5, 2010.</w:t>
      </w:r>
    </w:p>
    <w:p>
      <w:pPr>
        <w:pStyle w:val="BodyText"/>
      </w:pPr>
      <w:r>
        <w:rPr>
          <w:iCs/>
          <w:i/>
        </w:rPr>
        <w:t xml:space="preserve">Massachusetts v. Environmental Protection Agency</w:t>
      </w:r>
      <w:r>
        <w:t xml:space="preserve">. 549 U.S. 497 (2007).</w:t>
      </w:r>
    </w:p>
    <w:p>
      <w:pPr>
        <w:pStyle w:val="BodyText"/>
      </w:pPr>
      <w:r>
        <w:rPr>
          <w:iCs/>
          <w:i/>
        </w:rPr>
        <w:t xml:space="preserve">Massachusetts v. Mellon</w:t>
      </w:r>
      <w:r>
        <w:t xml:space="preserve">. 262 U.S. 447 (1923).</w:t>
      </w:r>
    </w:p>
    <w:p>
      <w:pPr>
        <w:pStyle w:val="BodyText"/>
      </w:pPr>
      <w:r>
        <w:t xml:space="preserve">Massie, Thomas.</w:t>
      </w:r>
      <w:r>
        <w:t xml:space="preserve"> </w:t>
      </w:r>
      <w:r>
        <w:t xml:space="preserve">“</w:t>
      </w:r>
      <w:r>
        <w:t xml:space="preserve">Massie-Khanna</w:t>
      </w:r>
      <w:r>
        <w:t xml:space="preserve"> </w:t>
      </w:r>
      <w:r>
        <w:t xml:space="preserve">‘</w:t>
      </w:r>
      <w:r>
        <w:t xml:space="preserve">Epstein Files Transparency Act</w:t>
      </w:r>
      <w:r>
        <w:t xml:space="preserve">’</w:t>
      </w:r>
      <w:r>
        <w:t xml:space="preserve"> </w:t>
      </w:r>
      <w:r>
        <w:t xml:space="preserve">Passes House of Representatives.</w:t>
      </w:r>
      <w:r>
        <w:t xml:space="preserve">”</w:t>
      </w:r>
      <w:r>
        <w:t xml:space="preserve"> </w:t>
      </w:r>
      <w:r>
        <w:t xml:space="preserve">Press release, November 18, 2025. https://massie.house.gov/news/documentsingle.aspx?DocumentID=395780.</w:t>
      </w:r>
    </w:p>
    <w:p>
      <w:pPr>
        <w:pStyle w:val="BodyText"/>
      </w:pPr>
      <w:r>
        <w:t xml:space="preserve">Mayhew, David R.</w:t>
      </w:r>
      <w:r>
        <w:t xml:space="preserve"> </w:t>
      </w:r>
      <w:r>
        <w:rPr>
          <w:iCs/>
          <w:i/>
        </w:rPr>
        <w:t xml:space="preserve">Divided We Govern: Party Control, Lawmaking, and Investigations, 1946–2002</w:t>
      </w:r>
      <w:r>
        <w:t xml:space="preserve">. 2nd ed. New Haven, CT: Yale University Press, 2005.</w:t>
      </w:r>
    </w:p>
    <w:p>
      <w:pPr>
        <w:pStyle w:val="BodyText"/>
      </w:pPr>
      <w:r>
        <w:t xml:space="preserve">Mazzetti, Mark.</w:t>
      </w:r>
      <w:r>
        <w:t xml:space="preserve"> </w:t>
      </w:r>
      <w:r>
        <w:t xml:space="preserve">“</w:t>
      </w:r>
      <w:r>
        <w:t xml:space="preserve">C.I.A. Destroyed 2 Tapes Showing Interrogations.</w:t>
      </w:r>
      <w:r>
        <w:t xml:space="preserve">”</w:t>
      </w:r>
      <w:r>
        <w:t xml:space="preserve"> </w:t>
      </w:r>
      <w:r>
        <w:rPr>
          <w:iCs/>
          <w:i/>
        </w:rPr>
        <w:t xml:space="preserve">New York Times</w:t>
      </w:r>
      <w:r>
        <w:t xml:space="preserve">, December 7, 2007, A1.</w:t>
      </w:r>
    </w:p>
    <w:p>
      <w:pPr>
        <w:pStyle w:val="BodyText"/>
      </w:pPr>
      <w:r>
        <w:t xml:space="preserve">McCawley, Sigrid, on behalf of Annie Farmer. Letter concerning proposed grand-jury unsealing in</w:t>
      </w:r>
      <w:r>
        <w:t xml:space="preserve"> </w:t>
      </w:r>
      <w:r>
        <w:rPr>
          <w:iCs/>
          <w:i/>
        </w:rPr>
        <w:t xml:space="preserve">United States v. Maxwell</w:t>
      </w:r>
      <w:r>
        <w:t xml:space="preserve">. August 5, 2025. DOJ production, Bates DOJ-OGR-00015103–00015107.</w:t>
      </w:r>
    </w:p>
    <w:p>
      <w:pPr>
        <w:pStyle w:val="BodyText"/>
      </w:pPr>
      <w:r>
        <w:t xml:space="preserve">McCubbins, Mathew D., and Thomas Schwartz.</w:t>
      </w:r>
      <w:r>
        <w:t xml:space="preserve"> </w:t>
      </w:r>
      <w:r>
        <w:t xml:space="preserve">“</w:t>
      </w:r>
      <w:r>
        <w:t xml:space="preserve">Congressional Oversight Overlooked: Police Patrols versus Fire Alarms.</w:t>
      </w:r>
      <w:r>
        <w:t xml:space="preserve">”</w:t>
      </w:r>
      <w:r>
        <w:t xml:space="preserve"> </w:t>
      </w:r>
      <w:r>
        <w:rPr>
          <w:iCs/>
          <w:i/>
        </w:rPr>
        <w:t xml:space="preserve">American Journal of Political Science</w:t>
      </w:r>
      <w:r>
        <w:t xml:space="preserve"> </w:t>
      </w:r>
      <w:r>
        <w:t xml:space="preserve">28, no. 1 (1984): 165–179.</w:t>
      </w:r>
    </w:p>
    <w:p>
      <w:pPr>
        <w:pStyle w:val="BodyText"/>
      </w:pPr>
      <w:r>
        <w:rPr>
          <w:iCs/>
          <w:i/>
        </w:rPr>
        <w:t xml:space="preserve">McGrain v. Daugherty</w:t>
      </w:r>
      <w:r>
        <w:t xml:space="preserve">. 273 U.S. 135 (1927).</w:t>
      </w:r>
    </w:p>
    <w:p>
      <w:pPr>
        <w:pStyle w:val="BodyText"/>
      </w:pPr>
      <w:r>
        <w:t xml:space="preserve">McManus, Doyle.</w:t>
      </w:r>
      <w:r>
        <w:t xml:space="preserve"> </w:t>
      </w:r>
      <w:r>
        <w:t xml:space="preserve">“</w:t>
      </w:r>
      <w:r>
        <w:t xml:space="preserve">Downed Plane Not Ours, Shultz Says.</w:t>
      </w:r>
      <w:r>
        <w:t xml:space="preserve">”</w:t>
      </w:r>
      <w:r>
        <w:t xml:space="preserve"> </w:t>
      </w:r>
      <w:r>
        <w:rPr>
          <w:iCs/>
          <w:i/>
        </w:rPr>
        <w:t xml:space="preserve">Los Angeles Times</w:t>
      </w:r>
      <w:r>
        <w:t xml:space="preserve">, October 8, 1986.</w:t>
      </w:r>
    </w:p>
    <w:p>
      <w:pPr>
        <w:pStyle w:val="BodyText"/>
      </w:pPr>
      <w:r>
        <w:t xml:space="preserve">Meese, Edwin, III. Press conference concerning the Iran-Contra affair. November 25, 1986.</w:t>
      </w:r>
    </w:p>
    <w:p>
      <w:pPr>
        <w:pStyle w:val="BodyText"/>
      </w:pPr>
      <w:r>
        <w:t xml:space="preserve">Mounk, Yascha.</w:t>
      </w:r>
      <w:r>
        <w:t xml:space="preserve"> </w:t>
      </w:r>
      <w:r>
        <w:rPr>
          <w:iCs/>
          <w:i/>
        </w:rPr>
        <w:t xml:space="preserve">The People vs. Democracy: Why Our Freedom Is in Danger and How to Save It</w:t>
      </w:r>
      <w:r>
        <w:t xml:space="preserve">. Cambridge, MA: Harvard University Press, 2018.</w:t>
      </w:r>
    </w:p>
    <w:p>
      <w:pPr>
        <w:pStyle w:val="BodyText"/>
      </w:pPr>
      <w:r>
        <w:rPr>
          <w:iCs/>
          <w:i/>
        </w:rPr>
        <w:t xml:space="preserve">Neguse v. U.S. Immigration and Customs Enforcement</w:t>
      </w:r>
      <w:r>
        <w:t xml:space="preserve">. No. 26-5072 (D.C. Cir. May 8, 2026) (order denying stay; Rao, J., concurring).</w:t>
      </w:r>
    </w:p>
    <w:p>
      <w:pPr>
        <w:pStyle w:val="BodyText"/>
      </w:pPr>
      <w:r>
        <w:t xml:space="preserve">New Mexico. Legislature. House. House Resolution 1, establishing the Survivors’ Truth Commission. Adopted February 16, 2026.</w:t>
      </w:r>
    </w:p>
    <w:p>
      <w:pPr>
        <w:pStyle w:val="BodyText"/>
      </w:pPr>
      <w:r>
        <w:t xml:space="preserve">New Mexico Survivors’ Truth Commission.</w:t>
      </w:r>
      <w:r>
        <w:t xml:space="preserve"> </w:t>
      </w:r>
      <w:r>
        <w:rPr>
          <w:iCs/>
          <w:i/>
        </w:rPr>
        <w:t xml:space="preserve">Interim Report</w:t>
      </w:r>
      <w:r>
        <w:t xml:space="preserve">. August 5, 2026. https://www.nmlegis.gov/handouts/HISC%20080526%20Item%201%20Interim%20Report.pdf.</w:t>
      </w:r>
    </w:p>
    <w:p>
      <w:pPr>
        <w:pStyle w:val="BodyText"/>
      </w:pPr>
      <w:r>
        <w:rPr>
          <w:iCs/>
          <w:i/>
        </w:rPr>
        <w:t xml:space="preserve">New York Times Co. v. Federal Bureau of Prisons</w:t>
      </w:r>
      <w:r>
        <w:t xml:space="preserve">. No. 20 Civ. 833 (PAE). Letter of the United States Attorney, ECF 52, April 28, 2021 (EFTA00085218). U.S. District Court for the Southern District of New York.</w:t>
      </w:r>
    </w:p>
    <w:p>
      <w:pPr>
        <w:pStyle w:val="BodyText"/>
      </w:pPr>
      <w:r>
        <w:t xml:space="preserve">Nixon, Richard.</w:t>
      </w:r>
      <w:r>
        <w:t xml:space="preserve"> </w:t>
      </w:r>
      <w:r>
        <w:t xml:space="preserve">“</w:t>
      </w:r>
      <w:r>
        <w:t xml:space="preserve">Statement Announcing Procedures for Providing Information From Presidential Tape Recordings.</w:t>
      </w:r>
      <w:r>
        <w:t xml:space="preserve">”</w:t>
      </w:r>
      <w:r>
        <w:t xml:space="preserve"> </w:t>
      </w:r>
      <w:r>
        <w:t xml:space="preserve">October 19, 1973. The American Presidency Project. https://www.presidency.ucsb.edu/documents/statement-announcing-procedures-for-providing-information-from-presidential-tape.</w:t>
      </w:r>
    </w:p>
    <w:p>
      <w:pPr>
        <w:pStyle w:val="BodyText"/>
      </w:pPr>
      <w:r>
        <w:t xml:space="preserve">Nixon, Richard.</w:t>
      </w:r>
      <w:r>
        <w:t xml:space="preserve"> </w:t>
      </w:r>
      <w:r>
        <w:t xml:space="preserve">“</w:t>
      </w:r>
      <w:r>
        <w:t xml:space="preserve">The President’s News Conference.</w:t>
      </w:r>
      <w:r>
        <w:t xml:space="preserve">”</w:t>
      </w:r>
      <w:r>
        <w:t xml:space="preserve"> </w:t>
      </w:r>
      <w:r>
        <w:t xml:space="preserve">October 26, 1973. The American Presidency Project. https://www.presidency.ucsb.edu/documents/the-presidents-news-conference-84.</w:t>
      </w:r>
    </w:p>
    <w:p>
      <w:pPr>
        <w:pStyle w:val="BodyText"/>
      </w:pPr>
      <w:r>
        <w:t xml:space="preserve">Nixon, Richard.</w:t>
      </w:r>
      <w:r>
        <w:t xml:space="preserve"> </w:t>
      </w:r>
      <w:r>
        <w:t xml:space="preserve">“</w:t>
      </w:r>
      <w:r>
        <w:t xml:space="preserve">Address to the Nation Announcing Answer to the House Judiciary Committee Subpoena for Additional Presidential Tape Recordings.</w:t>
      </w:r>
      <w:r>
        <w:t xml:space="preserve">”</w:t>
      </w:r>
      <w:r>
        <w:t xml:space="preserve"> </w:t>
      </w:r>
      <w:r>
        <w:t xml:space="preserve">April 29, 1974. The American Presidency Project. https://www.presidency.ucsb.edu/documents/address-the-nation-announcing-answer-the-house-judiciary-committee-subpoena-for-additional.</w:t>
      </w:r>
    </w:p>
    <w:p>
      <w:pPr>
        <w:pStyle w:val="BodyText"/>
      </w:pPr>
      <w:r>
        <w:rPr>
          <w:iCs/>
          <w:i/>
        </w:rPr>
        <w:t xml:space="preserve">Nixon v. Administrator of General Services</w:t>
      </w:r>
      <w:r>
        <w:t xml:space="preserve">. 433 U.S. 425 (1977).</w:t>
      </w:r>
    </w:p>
    <w:p>
      <w:pPr>
        <w:pStyle w:val="BodyText"/>
      </w:pPr>
      <w:r>
        <w:rPr>
          <w:iCs/>
          <w:i/>
        </w:rPr>
        <w:t xml:space="preserve">Nixon v. Sirica</w:t>
      </w:r>
      <w:r>
        <w:t xml:space="preserve">. 487 F.2d 700 (D.C. Cir. 1973).</w:t>
      </w:r>
    </w:p>
    <w:p>
      <w:pPr>
        <w:pStyle w:val="BodyText"/>
      </w:pPr>
      <w:r>
        <w:rPr>
          <w:iCs/>
          <w:i/>
        </w:rPr>
        <w:t xml:space="preserve">NLRB v. Sears, Roebuck &amp; Co.</w:t>
      </w:r>
      <w:r>
        <w:t xml:space="preserve"> </w:t>
      </w:r>
      <w:r>
        <w:t xml:space="preserve">421 U.S. 132 (1975). https://www.govinfo.gov/app/details/USREPORTS-421/USREPORTS-421-132.</w:t>
      </w:r>
    </w:p>
    <w:p>
      <w:pPr>
        <w:pStyle w:val="BodyText"/>
      </w:pPr>
      <w:r>
        <w:t xml:space="preserve">NPR.</w:t>
      </w:r>
      <w:r>
        <w:t xml:space="preserve"> </w:t>
      </w:r>
      <w:r>
        <w:t xml:space="preserve">“</w:t>
      </w:r>
      <w:r>
        <w:t xml:space="preserve">Justice Department Posts More Epstein Files Related to Accusations about Trump.</w:t>
      </w:r>
      <w:r>
        <w:t xml:space="preserve">”</w:t>
      </w:r>
      <w:r>
        <w:t xml:space="preserve"> </w:t>
      </w:r>
      <w:r>
        <w:t xml:space="preserve">March 5, 2026.</w:t>
      </w:r>
    </w:p>
    <w:p>
      <w:pPr>
        <w:pStyle w:val="BodyText"/>
      </w:pPr>
      <w:r>
        <w:rPr>
          <w:iCs/>
          <w:i/>
        </w:rPr>
        <w:t xml:space="preserve">Norfolk Redevelopment and Housing Authority v. Chesapeake &amp; Potomac Telephone Co. of Va.</w:t>
      </w:r>
      <w:r>
        <w:t xml:space="preserve"> </w:t>
      </w:r>
      <w:r>
        <w:t xml:space="preserve">464 U.S. 30 (1983).</w:t>
      </w:r>
    </w:p>
    <w:p>
      <w:pPr>
        <w:pStyle w:val="BodyText"/>
      </w:pPr>
      <w:r>
        <w:rPr>
          <w:iCs/>
          <w:i/>
        </w:rPr>
        <w:t xml:space="preserve">Oklahoma v. Castro-Huerta</w:t>
      </w:r>
      <w:r>
        <w:t xml:space="preserve">. 597 U.S. 629 (2022).</w:t>
      </w:r>
    </w:p>
    <w:p>
      <w:pPr>
        <w:pStyle w:val="BodyText"/>
      </w:pPr>
      <w:r>
        <w:t xml:space="preserve">Olmsted, Kathryn S.</w:t>
      </w:r>
      <w:r>
        <w:t xml:space="preserve"> </w:t>
      </w:r>
      <w:r>
        <w:rPr>
          <w:iCs/>
          <w:i/>
        </w:rPr>
        <w:t xml:space="preserve">Challenging the Secret Government: The Post-Watergate Investigations of the CIA and FBI</w:t>
      </w:r>
      <w:r>
        <w:t xml:space="preserve">. Chapel Hill: University of North Carolina Press, 1996.</w:t>
      </w:r>
    </w:p>
    <w:p>
      <w:pPr>
        <w:pStyle w:val="BodyText"/>
      </w:pPr>
      <w:r>
        <w:t xml:space="preserve">Olmsted, Kathryn.</w:t>
      </w:r>
      <w:r>
        <w:t xml:space="preserve"> </w:t>
      </w:r>
      <w:r>
        <w:t xml:space="preserve">“</w:t>
      </w:r>
      <w:r>
        <w:t xml:space="preserve">Reclaiming Executive Power: The Ford Administration’s Response to the Intelligence Investigations.</w:t>
      </w:r>
      <w:r>
        <w:t xml:space="preserve">”</w:t>
      </w:r>
      <w:r>
        <w:t xml:space="preserve"> </w:t>
      </w:r>
      <w:r>
        <w:rPr>
          <w:iCs/>
          <w:i/>
        </w:rPr>
        <w:t xml:space="preserve">Presidential Studies Quarterly</w:t>
      </w:r>
      <w:r>
        <w:t xml:space="preserve"> </w:t>
      </w:r>
      <w:r>
        <w:t xml:space="preserve">26, no. 3 (1996): 725–737.</w:t>
      </w:r>
    </w:p>
    <w:p>
      <w:pPr>
        <w:pStyle w:val="BodyText"/>
      </w:pPr>
      <w:r>
        <w:t xml:space="preserve">Parallax. EFTA full-text-search utility. Software used September 30, 2026.</w:t>
      </w:r>
    </w:p>
    <w:p>
      <w:pPr>
        <w:pStyle w:val="BodyText"/>
      </w:pPr>
      <w:r>
        <w:t xml:space="preserve">PBS</w:t>
      </w:r>
      <w:r>
        <w:t xml:space="preserve"> </w:t>
      </w:r>
      <w:r>
        <w:rPr>
          <w:iCs/>
          <w:i/>
        </w:rPr>
        <w:t xml:space="preserve">Frontline</w:t>
      </w:r>
      <w:r>
        <w:t xml:space="preserve">.</w:t>
      </w:r>
      <w:r>
        <w:t xml:space="preserve"> </w:t>
      </w:r>
      <w:r>
        <w:t xml:space="preserve">“</w:t>
      </w:r>
      <w:r>
        <w:t xml:space="preserve">A Brief History of the Independent Counsel Law.</w:t>
      </w:r>
      <w:r>
        <w:t xml:space="preserve">”</w:t>
      </w:r>
      <w:r>
        <w:t xml:space="preserve"> </w:t>
      </w:r>
      <w:r>
        <w:t xml:space="preserve">May 1998. https://www.pbs.org/wgbh/pages/frontline/shows/counsel/office/history.html.</w:t>
      </w:r>
    </w:p>
    <w:p>
      <w:pPr>
        <w:pStyle w:val="BodyText"/>
      </w:pPr>
      <w:r>
        <w:t xml:space="preserve">Pew Research Center.</w:t>
      </w:r>
      <w:r>
        <w:t xml:space="preserve"> </w:t>
      </w:r>
      <w:r>
        <w:t xml:space="preserve">“</w:t>
      </w:r>
      <w:r>
        <w:t xml:space="preserve">How Americans Have Viewed Government Surveillance and Privacy since Snowden Leaks.</w:t>
      </w:r>
      <w:r>
        <w:t xml:space="preserve">”</w:t>
      </w:r>
      <w:r>
        <w:t xml:space="preserve"> </w:t>
      </w:r>
      <w:r>
        <w:t xml:space="preserve">June 4, 2018. https://www.pewresearch.org/short-reads/2018/06/04/how-americans-have-viewed-government-surveillance-and-privacy-since-snowden-leaks/.</w:t>
      </w:r>
    </w:p>
    <w:p>
      <w:pPr>
        <w:pStyle w:val="BodyText"/>
      </w:pPr>
      <w:r>
        <w:t xml:space="preserve">Pew Research Center.</w:t>
      </w:r>
      <w:r>
        <w:t xml:space="preserve"> </w:t>
      </w:r>
      <w:r>
        <w:t xml:space="preserve">“</w:t>
      </w:r>
      <w:r>
        <w:t xml:space="preserve">Public Trust in Government: 1958–2025.</w:t>
      </w:r>
      <w:r>
        <w:t xml:space="preserve">”</w:t>
      </w:r>
      <w:r>
        <w:t xml:space="preserve"> </w:t>
      </w:r>
      <w:r>
        <w:t xml:space="preserve">Longitudinal series. 2025. https://www.pewresearch.org/politics/2025/12/04/public-trust-in-government-1958-2025/.</w:t>
      </w:r>
    </w:p>
    <w:p>
      <w:pPr>
        <w:pStyle w:val="BodyText"/>
      </w:pPr>
      <w:r>
        <w:rPr>
          <w:iCs/>
          <w:i/>
        </w:rPr>
        <w:t xml:space="preserve">Phang v. Blanche</w:t>
      </w:r>
      <w:r>
        <w:t xml:space="preserve">. No. 1:26-cv-01417. Complaint, April 27, 2026. U.S. District Court for the District of Columbia. Docket at https://www.courtlistener.com/docket/73246595/phang-v-blanche/.</w:t>
      </w:r>
    </w:p>
    <w:p>
      <w:pPr>
        <w:pStyle w:val="BodyText"/>
      </w:pPr>
      <w:r>
        <w:rPr>
          <w:iCs/>
          <w:i/>
        </w:rPr>
        <w:t xml:space="preserve">Phang v. Blanche</w:t>
      </w:r>
      <w:r>
        <w:t xml:space="preserve">. No. 1:26-cv-01417. Opinion, ECF 16, June 25, 2026. U.S. District Court for the District of Columbia. https://clearinghouse-umich-production.s3.amazonaws.com/media/doc/172048.pdf.</w:t>
      </w:r>
    </w:p>
    <w:p>
      <w:pPr>
        <w:pStyle w:val="BodyText"/>
      </w:pPr>
      <w:r>
        <w:rPr>
          <w:iCs/>
          <w:i/>
        </w:rPr>
        <w:t xml:space="preserve">Phang v. Blanche</w:t>
      </w:r>
      <w:r>
        <w:t xml:space="preserve">. No. 1:26-cv-01417. Order, ECF 15, June 25, 2026. U.S. District Court for the District of Columbia. https://clearinghouse-umich-production.s3.amazonaws.com/media/doc/172046.pdf.</w:t>
      </w:r>
    </w:p>
    <w:p>
      <w:pPr>
        <w:pStyle w:val="BodyText"/>
      </w:pPr>
      <w:r>
        <w:rPr>
          <w:iCs/>
          <w:i/>
        </w:rPr>
        <w:t xml:space="preserve">Phang v. Blanche</w:t>
      </w:r>
      <w:r>
        <w:t xml:space="preserve">. No. 1:26-cv-01417. Order, ECF 42, September 16, 2026. U.S. District Court for the District of Columbia. https://cases.justia.com/federal/district-courts/district-of-columbia/dcdce/1:2026cv01417/291779/42/0.pdf.</w:t>
      </w:r>
    </w:p>
    <w:p>
      <w:pPr>
        <w:pStyle w:val="BodyText"/>
      </w:pPr>
      <w:r>
        <w:rPr>
          <w:iCs/>
          <w:i/>
        </w:rPr>
        <w:t xml:space="preserve">Phang v. Blanche</w:t>
      </w:r>
      <w:r>
        <w:t xml:space="preserve">. No. 1:26-cv-01417. Order, ECF 43, September 16, 2026. U.S. District Court for the District of Columbia. https://cases.justia.com/federal/district-courts/district-of-columbia/dcdce/1:2026cv01417/291779/43/0.pdf.</w:t>
      </w:r>
    </w:p>
    <w:p>
      <w:pPr>
        <w:pStyle w:val="BodyText"/>
      </w:pPr>
      <w:r>
        <w:t xml:space="preserve">Pierson, Paul.</w:t>
      </w:r>
      <w:r>
        <w:t xml:space="preserve"> </w:t>
      </w:r>
      <w:r>
        <w:rPr>
          <w:iCs/>
          <w:i/>
        </w:rPr>
        <w:t xml:space="preserve">Politics in Time: History, Institutions, and Social Analysis</w:t>
      </w:r>
      <w:r>
        <w:t xml:space="preserve">. Princeton, NJ: Princeton University Press, 2004.</w:t>
      </w:r>
    </w:p>
    <w:p>
      <w:pPr>
        <w:pStyle w:val="BodyText"/>
      </w:pPr>
      <w:r>
        <w:t xml:space="preserve">Polybius.</w:t>
      </w:r>
      <w:r>
        <w:t xml:space="preserve"> </w:t>
      </w:r>
      <w:r>
        <w:rPr>
          <w:iCs/>
          <w:i/>
        </w:rPr>
        <w:t xml:space="preserve">Histories</w:t>
      </w:r>
      <w:r>
        <w:t xml:space="preserve">. Book 6. Translated by W. R. Paton. Loeb Classical Library. 1922. Digital transcription, LacusCurtius. https://penelope.uchicago.edu/Thayer/E/Roman/Texts/Polybius/6*.html.</w:t>
      </w:r>
    </w:p>
    <w:p>
      <w:pPr>
        <w:pStyle w:val="BodyText"/>
      </w:pPr>
      <w:r>
        <w:t xml:space="preserve">Pozen, David E.</w:t>
      </w:r>
      <w:r>
        <w:t xml:space="preserve"> </w:t>
      </w:r>
      <w:r>
        <w:t xml:space="preserve">“</w:t>
      </w:r>
      <w:r>
        <w:t xml:space="preserve">The Leaky Leviathan: Why the Government Condemns and Condones Unlawful Disclosures of Information.</w:t>
      </w:r>
      <w:r>
        <w:t xml:space="preserve">”</w:t>
      </w:r>
      <w:r>
        <w:t xml:space="preserve"> </w:t>
      </w:r>
      <w:r>
        <w:rPr>
          <w:iCs/>
          <w:i/>
        </w:rPr>
        <w:t xml:space="preserve">Harvard Law Review</w:t>
      </w:r>
      <w:r>
        <w:t xml:space="preserve"> </w:t>
      </w:r>
      <w:r>
        <w:t xml:space="preserve">127 (2013): 512–635.</w:t>
      </w:r>
    </w:p>
    <w:p>
      <w:pPr>
        <w:pStyle w:val="BodyText"/>
      </w:pPr>
      <w:r>
        <w:t xml:space="preserve">Przeworski, Adam, and Henry Teune.</w:t>
      </w:r>
      <w:r>
        <w:t xml:space="preserve"> </w:t>
      </w:r>
      <w:r>
        <w:rPr>
          <w:iCs/>
          <w:i/>
        </w:rPr>
        <w:t xml:space="preserve">The Logic of Comparative Social Inquiry</w:t>
      </w:r>
      <w:r>
        <w:t xml:space="preserve">. New York: Wiley-Interscience, 1970.</w:t>
      </w:r>
    </w:p>
    <w:p>
      <w:pPr>
        <w:pStyle w:val="BodyText"/>
      </w:pPr>
      <w:r>
        <w:rPr>
          <w:iCs/>
          <w:i/>
        </w:rPr>
        <w:t xml:space="preserve">Public Citizen v. United States Department of Justice</w:t>
      </w:r>
      <w:r>
        <w:t xml:space="preserve">. 491 U.S. 440 (1989).</w:t>
      </w:r>
    </w:p>
    <w:p>
      <w:pPr>
        <w:pStyle w:val="BodyText"/>
      </w:pPr>
      <w:r>
        <w:rPr>
          <w:iCs/>
          <w:i/>
        </w:rPr>
        <w:t xml:space="preserve">Raines v. Byrd</w:t>
      </w:r>
      <w:r>
        <w:t xml:space="preserve">. 521 U.S. 811 (1997).</w:t>
      </w:r>
    </w:p>
    <w:p>
      <w:pPr>
        <w:pStyle w:val="BodyText"/>
      </w:pPr>
      <w:r>
        <w:t xml:space="preserve">Rainie, Lee, and Mary Madden.</w:t>
      </w:r>
      <w:r>
        <w:t xml:space="preserve"> </w:t>
      </w:r>
      <w:r>
        <w:t xml:space="preserve">“</w:t>
      </w:r>
      <w:r>
        <w:t xml:space="preserve">Americans’ Privacy Strategies Post-Snowden.</w:t>
      </w:r>
      <w:r>
        <w:t xml:space="preserve">”</w:t>
      </w:r>
      <w:r>
        <w:t xml:space="preserve"> </w:t>
      </w:r>
      <w:r>
        <w:t xml:space="preserve">Pew Research Center, March 16, 2015. https://www.pewresearch.org/internet/2015/03/16/americans-privacy-strategies-post-snowden/.</w:t>
      </w:r>
    </w:p>
    <w:p>
      <w:pPr>
        <w:pStyle w:val="BodyText"/>
      </w:pPr>
      <w:r>
        <w:t xml:space="preserve">Raskin, Jamie. Letter to President Donald J. Trump concerning Ghislaine Maxwell. House Committee on the Judiciary, November 9, 2025. https://democrats-judiciary.house.gov/sites/evo-subsites/democrats-judiciary.house.gov/files/evo-media-document/2025-11-09-raskin-to-trump-wh-re-maxwell.pdf.</w:t>
      </w:r>
    </w:p>
    <w:p>
      <w:pPr>
        <w:pStyle w:val="BodyText"/>
      </w:pPr>
      <w:r>
        <w:t xml:space="preserve">Reagan, Ronald.</w:t>
      </w:r>
      <w:r>
        <w:t xml:space="preserve"> </w:t>
      </w:r>
      <w:r>
        <w:t xml:space="preserve">“</w:t>
      </w:r>
      <w:r>
        <w:t xml:space="preserve">Approval and Review of Special Activities.</w:t>
      </w:r>
      <w:r>
        <w:t xml:space="preserve">”</w:t>
      </w:r>
      <w:r>
        <w:t xml:space="preserve"> </w:t>
      </w:r>
      <w:r>
        <w:t xml:space="preserve">National Security Decision Directive 286. October 15, 1987.</w:t>
      </w:r>
    </w:p>
    <w:p>
      <w:pPr>
        <w:pStyle w:val="BodyText"/>
      </w:pPr>
      <w:r>
        <w:t xml:space="preserve">Reagan, Ronald.</w:t>
      </w:r>
      <w:r>
        <w:t xml:space="preserve"> </w:t>
      </w:r>
      <w:r>
        <w:t xml:space="preserve">“</w:t>
      </w:r>
      <w:r>
        <w:t xml:space="preserve">Statement on Granting Pardons to W. Mark Felt and Edward S. Miller.</w:t>
      </w:r>
      <w:r>
        <w:t xml:space="preserve">”</w:t>
      </w:r>
      <w:r>
        <w:t xml:space="preserve"> </w:t>
      </w:r>
      <w:r>
        <w:t xml:space="preserve">April 15, 1981.</w:t>
      </w:r>
    </w:p>
    <w:p>
      <w:pPr>
        <w:pStyle w:val="BodyText"/>
      </w:pPr>
      <w:r>
        <w:t xml:space="preserve">Rubinstein, Ariel.</w:t>
      </w:r>
      <w:r>
        <w:t xml:space="preserve"> </w:t>
      </w:r>
      <w:r>
        <w:t xml:space="preserve">“</w:t>
      </w:r>
      <w:r>
        <w:t xml:space="preserve">Perfect Equilibrium in a Bargaining Model.</w:t>
      </w:r>
      <w:r>
        <w:t xml:space="preserve">”</w:t>
      </w:r>
      <w:r>
        <w:t xml:space="preserve"> </w:t>
      </w:r>
      <w:r>
        <w:rPr>
          <w:iCs/>
          <w:i/>
        </w:rPr>
        <w:t xml:space="preserve">Econometrica</w:t>
      </w:r>
      <w:r>
        <w:t xml:space="preserve"> </w:t>
      </w:r>
      <w:r>
        <w:t xml:space="preserve">50, no. 1 (1982): 97–109. https://doi.org/10.2307/1912531.</w:t>
      </w:r>
    </w:p>
    <w:p>
      <w:pPr>
        <w:pStyle w:val="BodyText"/>
      </w:pPr>
      <w:r>
        <w:t xml:space="preserve">Risen, James, and Eric Lichtblau.</w:t>
      </w:r>
      <w:r>
        <w:t xml:space="preserve"> </w:t>
      </w:r>
      <w:r>
        <w:t xml:space="preserve">“</w:t>
      </w:r>
      <w:r>
        <w:t xml:space="preserve">Bush Lets U.S. Spy on Callers Without Courts.</w:t>
      </w:r>
      <w:r>
        <w:t xml:space="preserve">”</w:t>
      </w:r>
      <w:r>
        <w:t xml:space="preserve"> </w:t>
      </w:r>
      <w:r>
        <w:rPr>
          <w:iCs/>
          <w:i/>
        </w:rPr>
        <w:t xml:space="preserve">New York Times</w:t>
      </w:r>
      <w:r>
        <w:t xml:space="preserve">, December 16, 2005.</w:t>
      </w:r>
    </w:p>
    <w:p>
      <w:pPr>
        <w:pStyle w:val="BodyText"/>
      </w:pPr>
      <w:r>
        <w:t xml:space="preserve">Rudenstine, David.</w:t>
      </w:r>
      <w:r>
        <w:t xml:space="preserve"> </w:t>
      </w:r>
      <w:r>
        <w:rPr>
          <w:iCs/>
          <w:i/>
        </w:rPr>
        <w:t xml:space="preserve">The Age of Deference: The Supreme Court, National Security, and the Constitutional Order</w:t>
      </w:r>
      <w:r>
        <w:t xml:space="preserve">. Oxford University Press, 2016. Publisher-linked local research summary consulted.</w:t>
      </w:r>
    </w:p>
    <w:p>
      <w:pPr>
        <w:pStyle w:val="BodyText"/>
      </w:pPr>
      <w:r>
        <w:t xml:space="preserve">Sagar, Rahul.</w:t>
      </w:r>
      <w:r>
        <w:t xml:space="preserve"> </w:t>
      </w:r>
      <w:r>
        <w:rPr>
          <w:iCs/>
          <w:i/>
        </w:rPr>
        <w:t xml:space="preserve">Secrets and Leaks: The Dilemma of State Secrecy</w:t>
      </w:r>
      <w:r>
        <w:t xml:space="preserve">. Princeton: Princeton University Press, 2013.</w:t>
      </w:r>
    </w:p>
    <w:p>
      <w:pPr>
        <w:pStyle w:val="BodyText"/>
      </w:pPr>
      <w:r>
        <w:t xml:space="preserve">Schwarz, Frederick A. O., Jr., and Aziz Z. Huq.</w:t>
      </w:r>
      <w:r>
        <w:t xml:space="preserve"> </w:t>
      </w:r>
      <w:r>
        <w:rPr>
          <w:iCs/>
          <w:i/>
        </w:rPr>
        <w:t xml:space="preserve">Unchecked and Unbalanced: Presidential Power in a Time of Terror</w:t>
      </w:r>
      <w:r>
        <w:t xml:space="preserve">. The New Press, 2007. Publisher description. https://thenewpress.org/books/unchecked-and-unbalanced/.</w:t>
      </w:r>
    </w:p>
    <w:p>
      <w:pPr>
        <w:pStyle w:val="BodyText"/>
      </w:pPr>
      <w:r>
        <w:rPr>
          <w:iCs/>
          <w:i/>
        </w:rPr>
        <w:t xml:space="preserve">Seila Law LLC v. Consumer Financial Protection Bureau</w:t>
      </w:r>
      <w:r>
        <w:t xml:space="preserve">. 591 U.S. 197 (2020).</w:t>
      </w:r>
    </w:p>
    <w:p>
      <w:pPr>
        <w:pStyle w:val="BodyText"/>
      </w:pPr>
      <w:r>
        <w:rPr>
          <w:iCs/>
          <w:i/>
        </w:rPr>
        <w:t xml:space="preserve">Senate Select Committee on Presidential Campaign Activities v. Nixon</w:t>
      </w:r>
      <w:r>
        <w:t xml:space="preserve">. 498 F.2d 725 (D.C. Cir. 1974).</w:t>
      </w:r>
    </w:p>
    <w:p>
      <w:pPr>
        <w:pStyle w:val="BodyText"/>
      </w:pPr>
      <w:r>
        <w:t xml:space="preserve">Shane, Peter M.</w:t>
      </w:r>
      <w:r>
        <w:t xml:space="preserve"> </w:t>
      </w:r>
      <w:r>
        <w:t xml:space="preserve">“</w:t>
      </w:r>
      <w:r>
        <w:t xml:space="preserve">Legal Disagreement and Negotiation in a Government of Laws: The Case of Executive Privilege Claims Against Congress.</w:t>
      </w:r>
      <w:r>
        <w:t xml:space="preserve">”</w:t>
      </w:r>
      <w:r>
        <w:t xml:space="preserve"> </w:t>
      </w:r>
      <w:r>
        <w:rPr>
          <w:iCs/>
          <w:i/>
        </w:rPr>
        <w:t xml:space="preserve">Minnesota Law Review</w:t>
      </w:r>
      <w:r>
        <w:t xml:space="preserve"> </w:t>
      </w:r>
      <w:r>
        <w:t xml:space="preserve">71 (1987): 461–542.</w:t>
      </w:r>
    </w:p>
    <w:p>
      <w:pPr>
        <w:pStyle w:val="BodyText"/>
      </w:pPr>
      <w:r>
        <w:t xml:space="preserve">Smist, Frank J., Jr. </w:t>
      </w:r>
      <w:r>
        <w:rPr>
          <w:iCs/>
          <w:i/>
        </w:rPr>
        <w:t xml:space="preserve">Congress Oversees the United States Intelligence Community, 1947–1994</w:t>
      </w:r>
      <w:r>
        <w:t xml:space="preserve">. 2nd ed. Knoxville: University of Tennessee Press, 1994.</w:t>
      </w:r>
    </w:p>
    <w:p>
      <w:pPr>
        <w:pStyle w:val="BodyText"/>
      </w:pPr>
      <w:r>
        <w:t xml:space="preserve">Snider, L. Britt.</w:t>
      </w:r>
      <w:r>
        <w:t xml:space="preserve"> </w:t>
      </w:r>
      <w:r>
        <w:rPr>
          <w:iCs/>
          <w:i/>
        </w:rPr>
        <w:t xml:space="preserve">The Agency and the Hill: CIA’s Relationship with Congress, 1946–2004</w:t>
      </w:r>
      <w:r>
        <w:t xml:space="preserve">. Washington, DC: Central Intelligence Agency, Center for the Study of Intelligence, 2008.</w:t>
      </w:r>
    </w:p>
    <w:p>
      <w:pPr>
        <w:pStyle w:val="BodyText"/>
      </w:pPr>
      <w:r>
        <w:rPr>
          <w:iCs/>
          <w:i/>
        </w:rPr>
        <w:t xml:space="preserve">Trammel v. United States</w:t>
      </w:r>
      <w:r>
        <w:t xml:space="preserve">. 445 U.S. 40 (1980).</w:t>
      </w:r>
    </w:p>
    <w:p>
      <w:pPr>
        <w:pStyle w:val="BodyText"/>
      </w:pPr>
      <w:r>
        <w:rPr>
          <w:iCs/>
          <w:i/>
        </w:rPr>
        <w:t xml:space="preserve">TransUnion LLC v. Ramirez</w:t>
      </w:r>
      <w:r>
        <w:t xml:space="preserve">. 594 U.S. 413 (2021).</w:t>
      </w:r>
    </w:p>
    <w:p>
      <w:pPr>
        <w:pStyle w:val="BodyText"/>
      </w:pPr>
      <w:r>
        <w:rPr>
          <w:iCs/>
          <w:i/>
        </w:rPr>
        <w:t xml:space="preserve">Trump v. CASA, Inc.</w:t>
      </w:r>
      <w:r>
        <w:t xml:space="preserve"> </w:t>
      </w:r>
      <w:r>
        <w:t xml:space="preserve">606 U.S. ___ (2025). No. 24A884. June 27, 2025. https://www.supremecourt.gov/opinions/24pdf/24a884_8n59.pdf.</w:t>
      </w:r>
    </w:p>
    <w:p>
      <w:pPr>
        <w:pStyle w:val="BodyText"/>
      </w:pPr>
      <w:r>
        <w:rPr>
          <w:iCs/>
          <w:i/>
        </w:rPr>
        <w:t xml:space="preserve">Trump v. Mazars USA, LLP</w:t>
      </w:r>
      <w:r>
        <w:t xml:space="preserve">. 591 U.S. ___ (2020). https://www.supremecourt.gov/opinions/19pdf/19-715_febh.pdf.</w:t>
      </w:r>
    </w:p>
    <w:p>
      <w:pPr>
        <w:pStyle w:val="BodyText"/>
      </w:pPr>
      <w:r>
        <w:rPr>
          <w:iCs/>
          <w:i/>
        </w:rPr>
        <w:t xml:space="preserve">Trump v. Slaughter</w:t>
      </w:r>
      <w:r>
        <w:t xml:space="preserve">. 609 U.S. ___ (2026). No. 25-332. June 29, 2026. https://www.supremecourt.gov/opinions/25pdf/25-332_new_geil.pdf.</w:t>
      </w:r>
    </w:p>
    <w:p>
      <w:pPr>
        <w:pStyle w:val="BodyText"/>
      </w:pPr>
      <w:r>
        <w:rPr>
          <w:iCs/>
          <w:i/>
        </w:rPr>
        <w:t xml:space="preserve">Trump v. United States</w:t>
      </w:r>
      <w:r>
        <w:t xml:space="preserve">. 603 U.S. 593 (2024).</w:t>
      </w:r>
    </w:p>
    <w:p>
      <w:pPr>
        <w:pStyle w:val="BodyText"/>
      </w:pPr>
      <w:r>
        <w:t xml:space="preserve">United Press International.</w:t>
      </w:r>
      <w:r>
        <w:t xml:space="preserve"> </w:t>
      </w:r>
      <w:r>
        <w:t xml:space="preserve">“</w:t>
      </w:r>
      <w:r>
        <w:t xml:space="preserve">Fines, No Jail Terms in FBI Case.</w:t>
      </w:r>
      <w:r>
        <w:t xml:space="preserve">”</w:t>
      </w:r>
      <w:r>
        <w:t xml:space="preserve"> </w:t>
      </w:r>
      <w:r>
        <w:t xml:space="preserve">December 15, 1980.</w:t>
      </w:r>
    </w:p>
    <w:p>
      <w:pPr>
        <w:pStyle w:val="BodyText"/>
      </w:pPr>
      <w:r>
        <w:rPr>
          <w:iCs/>
          <w:i/>
        </w:rPr>
        <w:t xml:space="preserve">United States v. American Telephone &amp; Telegraph Co.</w:t>
      </w:r>
      <w:r>
        <w:t xml:space="preserve"> </w:t>
      </w:r>
      <w:r>
        <w:t xml:space="preserve">567 F.2d 121 (D.C. Cir. 1977).</w:t>
      </w:r>
    </w:p>
    <w:p>
      <w:pPr>
        <w:pStyle w:val="BodyText"/>
      </w:pPr>
      <w:r>
        <w:rPr>
          <w:iCs/>
          <w:i/>
        </w:rPr>
        <w:t xml:space="preserve">United States v. Gray</w:t>
      </w:r>
      <w:r>
        <w:t xml:space="preserve">. 502 F. Supp. 150 (D.D.C. 1980).</w:t>
      </w:r>
    </w:p>
    <w:p>
      <w:pPr>
        <w:pStyle w:val="BodyText"/>
      </w:pPr>
      <w:r>
        <w:rPr>
          <w:iCs/>
          <w:i/>
        </w:rPr>
        <w:t xml:space="preserve">United States v. Haldeman</w:t>
      </w:r>
      <w:r>
        <w:t xml:space="preserve">. 559 F.2d 31 (D.C. Cir. 1976).</w:t>
      </w:r>
    </w:p>
    <w:p>
      <w:pPr>
        <w:pStyle w:val="BodyText"/>
      </w:pPr>
      <w:r>
        <w:rPr>
          <w:iCs/>
          <w:i/>
        </w:rPr>
        <w:t xml:space="preserve">United States v. Maxwell</w:t>
      </w:r>
      <w:r>
        <w:t xml:space="preserve">. 118 F.4th 256 (2d Cir. 2024).</w:t>
      </w:r>
    </w:p>
    <w:p>
      <w:pPr>
        <w:pStyle w:val="BodyText"/>
      </w:pPr>
      <w:r>
        <w:rPr>
          <w:iCs/>
          <w:i/>
        </w:rPr>
        <w:t xml:space="preserve">United States v. Moalin</w:t>
      </w:r>
      <w:r>
        <w:t xml:space="preserve">. No. 13-50572 (9th Cir. September 2, 2020). https://cdn.ca9.uscourts.gov/datastore/opinions/2020/09/02/13-50572.pdf.</w:t>
      </w:r>
    </w:p>
    <w:p>
      <w:pPr>
        <w:pStyle w:val="BodyText"/>
      </w:pPr>
      <w:r>
        <w:rPr>
          <w:iCs/>
          <w:i/>
        </w:rPr>
        <w:t xml:space="preserve">United States v. Nixon</w:t>
      </w:r>
      <w:r>
        <w:t xml:space="preserve">. 418 U.S. 683 (1974).</w:t>
      </w:r>
    </w:p>
    <w:p>
      <w:pPr>
        <w:pStyle w:val="BodyText"/>
      </w:pPr>
      <w:r>
        <w:rPr>
          <w:iCs/>
          <w:i/>
        </w:rPr>
        <w:t xml:space="preserve">United States v. Tartaglione</w:t>
      </w:r>
      <w:r>
        <w:t xml:space="preserve">. No. 16-cr-832 (KMK). U.S. District Court for the Southern District of New York.</w:t>
      </w:r>
    </w:p>
    <w:p>
      <w:pPr>
        <w:pStyle w:val="BodyText"/>
      </w:pPr>
      <w:r>
        <w:t xml:space="preserve">United States. Central Intelligence Agency.</w:t>
      </w:r>
      <w:r>
        <w:t xml:space="preserve"> </w:t>
      </w:r>
      <w:r>
        <w:rPr>
          <w:iCs/>
          <w:i/>
        </w:rPr>
        <w:t xml:space="preserve">CIA Comments on the Senate Select Committee on Intelligence Report on the Rendition, Detention, and Interrogation Program</w:t>
      </w:r>
      <w:r>
        <w:t xml:space="preserve">. June 27, 2013. Released December 9, 2014.</w:t>
      </w:r>
    </w:p>
    <w:p>
      <w:pPr>
        <w:pStyle w:val="BodyText"/>
      </w:pPr>
      <w:r>
        <w:t xml:space="preserve">United States. Central Intelligence Agency.</w:t>
      </w:r>
      <w:r>
        <w:t xml:space="preserve"> </w:t>
      </w:r>
      <w:r>
        <w:rPr>
          <w:iCs/>
          <w:i/>
        </w:rPr>
        <w:t xml:space="preserve">Family Jewels</w:t>
      </w:r>
      <w:r>
        <w:t xml:space="preserve">. Internal compilation, 1973. Released June 26, 2007.</w:t>
      </w:r>
    </w:p>
    <w:p>
      <w:pPr>
        <w:pStyle w:val="BodyText"/>
      </w:pPr>
      <w:r>
        <w:t xml:space="preserve">United States. Classified Information Procedures Act. Pub. L. No. 96-456, 94 Stat. 2025 (1980), 18 U.S.C. app. 3.</w:t>
      </w:r>
    </w:p>
    <w:p>
      <w:pPr>
        <w:pStyle w:val="BodyText"/>
      </w:pPr>
      <w:r>
        <w:t xml:space="preserve">United States. Clean Air Act, § 304. 42 U.S.C. § 7604.</w:t>
      </w:r>
    </w:p>
    <w:p>
      <w:pPr>
        <w:pStyle w:val="BodyText"/>
      </w:pPr>
      <w:r>
        <w:t xml:space="preserve">United States. Clean Water Act, § 505. 33 U.S.C. § 1365.</w:t>
      </w:r>
    </w:p>
    <w:p>
      <w:pPr>
        <w:pStyle w:val="BodyText"/>
      </w:pPr>
      <w:r>
        <w:t xml:space="preserve">United States. Commission on CIA Activities within the United States.</w:t>
      </w:r>
      <w:r>
        <w:t xml:space="preserve"> </w:t>
      </w:r>
      <w:r>
        <w:rPr>
          <w:iCs/>
          <w:i/>
        </w:rPr>
        <w:t xml:space="preserve">Report to the President</w:t>
      </w:r>
      <w:r>
        <w:t xml:space="preserve">. June 6, 1975.</w:t>
      </w:r>
    </w:p>
    <w:p>
      <w:pPr>
        <w:pStyle w:val="BodyText"/>
      </w:pPr>
      <w:r>
        <w:t xml:space="preserve">United States. Comprehensive Environmental Response, Compensation, and Liability Act, § 310. 42 U.S.C. § 9659.</w:t>
      </w:r>
    </w:p>
    <w:p>
      <w:pPr>
        <w:pStyle w:val="BodyText"/>
      </w:pPr>
      <w:r>
        <w:t xml:space="preserve">United States. Congress. Congressional Research Service.</w:t>
      </w:r>
      <w:r>
        <w:t xml:space="preserve"> </w:t>
      </w:r>
      <w:r>
        <w:rPr>
          <w:iCs/>
          <w:i/>
        </w:rPr>
        <w:t xml:space="preserve">Removal of Inspectors General: Rules, Practice, and Considerations for Congress</w:t>
      </w:r>
      <w:r>
        <w:t xml:space="preserve">. IF11546. Updated January 27, 2025. https://www.congress.gov/crs_external_products/IF/PDF/IF11546/IF11546.9.pdf.</w:t>
      </w:r>
    </w:p>
    <w:p>
      <w:pPr>
        <w:pStyle w:val="BodyText"/>
      </w:pPr>
      <w:r>
        <w:t xml:space="preserve">United States. Congress. House. Committee on Oversight and Government Reform. Bill Gates transcribed interview. June 10, 2026. https://oversight.house.gov/wp-content/uploads/2026/06/Bill-Gates-Transcript.pdf.</w:t>
      </w:r>
    </w:p>
    <w:p>
      <w:pPr>
        <w:pStyle w:val="BodyText"/>
      </w:pPr>
      <w:r>
        <w:t xml:space="preserve">United States. Congress. House. Committee on Oversight and Government Reform. Democrats.</w:t>
      </w:r>
      <w:r>
        <w:t xml:space="preserve"> </w:t>
      </w:r>
      <w:r>
        <w:t xml:space="preserve">“</w:t>
      </w:r>
      <w:r>
        <w:t xml:space="preserve">Ranking Member Robert Garcia Statement on Firing of Attorney General Pam Bondi.</w:t>
      </w:r>
      <w:r>
        <w:t xml:space="preserve">”</w:t>
      </w:r>
      <w:r>
        <w:t xml:space="preserve"> </w:t>
      </w:r>
      <w:r>
        <w:t xml:space="preserve">April 2, 2026. https://oversightdemocrats.house.gov/news/press-releases/ranking-member-robert-garcia-statement-on-firing-of-attorney-general-pam-bondi.</w:t>
      </w:r>
    </w:p>
    <w:p>
      <w:pPr>
        <w:pStyle w:val="BodyText"/>
      </w:pPr>
      <w:r>
        <w:t xml:space="preserve">United States. Congress. House. Committee on Oversight and Government Reform. Markup transcript. January 21, 2026. https://docs.house.gov/meetings/GO/GO00/20260121/118877/HMKP-119-GO00-Transcript-20260121.pdf.</w:t>
      </w:r>
    </w:p>
    <w:p>
      <w:pPr>
        <w:pStyle w:val="BodyText"/>
      </w:pPr>
      <w:r>
        <w:t xml:space="preserve">United States. Congress. House. Committee on Oversight and Government Reform. Release of Gates and Groff interview transcripts. n.d. https://oversight.house.gov/release/oversight-committee-releases-gates-and-groff-transcripts/.</w:t>
      </w:r>
    </w:p>
    <w:p>
      <w:pPr>
        <w:pStyle w:val="BodyText"/>
      </w:pPr>
      <w:r>
        <w:t xml:space="preserve">United States. Congress. House. Committee on Oversight and Government Reform. Report concerning William J. Clinton’s failure to comply with a committee subpoena. H. Rept. 119-468, pt. 1. 119th Cong., 2nd sess., 2026. https://www.govinfo.gov/content/pkg/CRPT-119hrpt468/html/CRPT-119hrpt468-pt1.htm.</w:t>
      </w:r>
    </w:p>
    <w:p>
      <w:pPr>
        <w:pStyle w:val="BodyText"/>
      </w:pPr>
      <w:r>
        <w:t xml:space="preserve">United States. Congress. House. Committee on Oversight and Government Reform.</w:t>
      </w:r>
      <w:r>
        <w:t xml:space="preserve"> </w:t>
      </w:r>
      <w:r>
        <w:rPr>
          <w:iCs/>
          <w:i/>
        </w:rPr>
        <w:t xml:space="preserve">Transcribed Interview of Pamela Bondi</w:t>
      </w:r>
      <w:r>
        <w:t xml:space="preserve">. May 29, 2026.</w:t>
      </w:r>
    </w:p>
    <w:p>
      <w:pPr>
        <w:pStyle w:val="BodyText"/>
      </w:pPr>
      <w:r>
        <w:t xml:space="preserve">United States. Congress. House. Committee on Standards of Official Conduct.</w:t>
      </w:r>
      <w:r>
        <w:t xml:space="preserve"> </w:t>
      </w:r>
      <w:r>
        <w:rPr>
          <w:iCs/>
          <w:i/>
        </w:rPr>
        <w:t xml:space="preserve">Report on Investigation Pursuant to H. Res. 1042 Concerning Unauthorized Publication of the Report of the Select Committee on Intelligence</w:t>
      </w:r>
      <w:r>
        <w:t xml:space="preserve">. H. Rept. 94-1754. October 1, 1976.</w:t>
      </w:r>
    </w:p>
    <w:p>
      <w:pPr>
        <w:pStyle w:val="BodyText"/>
      </w:pPr>
      <w:r>
        <w:t xml:space="preserve">United States. Congress. House. Committee on the Judiciary.</w:t>
      </w:r>
      <w:r>
        <w:t xml:space="preserve"> </w:t>
      </w:r>
      <w:r>
        <w:rPr>
          <w:iCs/>
          <w:i/>
        </w:rPr>
        <w:t xml:space="preserve">Debate on Articles of Impeachment</w:t>
      </w:r>
      <w:r>
        <w:t xml:space="preserve">. Hearings, July 24–30, 1974. 93rd Cong., 2nd sess., 1974. https://archive.org/details/WatergateErvinCommitteeReport.</w:t>
      </w:r>
    </w:p>
    <w:p>
      <w:pPr>
        <w:pStyle w:val="BodyText"/>
      </w:pPr>
      <w:r>
        <w:t xml:space="preserve">United States. Congress. House. Committee on the Judiciary.</w:t>
      </w:r>
      <w:r>
        <w:t xml:space="preserve"> </w:t>
      </w:r>
      <w:r>
        <w:rPr>
          <w:iCs/>
          <w:i/>
        </w:rPr>
        <w:t xml:space="preserve">Oversight of the United States Department of Justice</w:t>
      </w:r>
      <w:r>
        <w:t xml:space="preserve">. Hearing, April 8, 2014. https://www.govinfo.gov/content/pkg/CHRG-113hhrg87497/pdf/CHRG-113hhrg87497.pdf.</w:t>
      </w:r>
    </w:p>
    <w:p>
      <w:pPr>
        <w:pStyle w:val="BodyText"/>
      </w:pPr>
      <w:r>
        <w:t xml:space="preserve">United States. Congress. House.</w:t>
      </w:r>
      <w:r>
        <w:t xml:space="preserve"> </w:t>
      </w:r>
      <w:r>
        <w:rPr>
          <w:iCs/>
          <w:i/>
        </w:rPr>
        <w:t xml:space="preserve">Congressional Subpoena Compliance and Enforcement Act of 2017</w:t>
      </w:r>
      <w:r>
        <w:t xml:space="preserve">. H.R. 4010. 115th Cong., 1st sess. Engrossed in the House. https://www.govinfo.gov/content/pkg/BILLS-115hr4010eh/html/BILLS-115hr4010eh.htm.</w:t>
      </w:r>
    </w:p>
    <w:p>
      <w:pPr>
        <w:pStyle w:val="BodyText"/>
      </w:pPr>
      <w:r>
        <w:t xml:space="preserve">United States. Congress. House.</w:t>
      </w:r>
      <w:r>
        <w:t xml:space="preserve"> </w:t>
      </w:r>
      <w:r>
        <w:rPr>
          <w:iCs/>
          <w:i/>
        </w:rPr>
        <w:t xml:space="preserve">Epstein Files Transparency Act II</w:t>
      </w:r>
      <w:r>
        <w:t xml:space="preserve">. H.R. 9694. 119th Cong., 2nd sess., introduced July 15, 2026.</w:t>
      </w:r>
    </w:p>
    <w:p>
      <w:pPr>
        <w:pStyle w:val="BodyText"/>
      </w:pPr>
      <w:r>
        <w:t xml:space="preserve">United States. Congress. House. H. Res. 430. 116th Cong., 1st sess., 2019. https://www.govinfo.gov/content/pkg/BILLS-116hres430eh/html/BILLS-116hres430eh.htm.</w:t>
      </w:r>
    </w:p>
    <w:p>
      <w:pPr>
        <w:pStyle w:val="BodyText"/>
      </w:pPr>
      <w:r>
        <w:t xml:space="preserve">United States. Congress. House. H. Res. 591. 94th Cong., 1st sess., 1975.</w:t>
      </w:r>
    </w:p>
    <w:p>
      <w:pPr>
        <w:pStyle w:val="BodyText"/>
      </w:pPr>
      <w:r>
        <w:t xml:space="preserve">United States. Congress. House. H. Res. 12. 100th Cong., 1st sess., January 7, 1987.</w:t>
      </w:r>
    </w:p>
    <w:p>
      <w:pPr>
        <w:pStyle w:val="BodyText"/>
      </w:pPr>
      <w:r>
        <w:t xml:space="preserve">United States. Congress. House. H. Res. 658. 95th Cong., 1st sess., 1977.</w:t>
      </w:r>
    </w:p>
    <w:p>
      <w:pPr>
        <w:pStyle w:val="BodyText"/>
      </w:pPr>
      <w:r>
        <w:t xml:space="preserve">United States. Congress. House. H. Res. 982, as amended by the Young amendment. 94th Cong., 2nd sess., adopted January 29, 1976.</w:t>
      </w:r>
    </w:p>
    <w:p>
      <w:pPr>
        <w:pStyle w:val="BodyText"/>
      </w:pPr>
      <w:r>
        <w:t xml:space="preserve">United States. Congress. House. Roll Call 224, on passage of H.R. 2048 (USA FREEDOM Act). 114th Cong., 1st sess., May 13, 2015. https://clerk.house.gov/evs/2015/roll224.xml.</w:t>
      </w:r>
    </w:p>
    <w:p>
      <w:pPr>
        <w:pStyle w:val="BodyText"/>
      </w:pPr>
      <w:r>
        <w:t xml:space="preserve">United States. Congress. House. Select Committee on Intelligence.</w:t>
      </w:r>
      <w:r>
        <w:t xml:space="preserve"> </w:t>
      </w:r>
      <w:r>
        <w:rPr>
          <w:iCs/>
          <w:i/>
        </w:rPr>
        <w:t xml:space="preserve">CIA: The Pike Report</w:t>
      </w:r>
      <w:r>
        <w:t xml:space="preserve">. Nottingham: Spokesman Books, 1977. Committee report originally circulated in 1976 and published in the</w:t>
      </w:r>
      <w:r>
        <w:t xml:space="preserve"> </w:t>
      </w:r>
      <w:r>
        <w:rPr>
          <w:iCs/>
          <w:i/>
        </w:rPr>
        <w:t xml:space="preserve">Village Voice</w:t>
      </w:r>
      <w:r>
        <w:t xml:space="preserve">, February 16, 1976.</w:t>
      </w:r>
    </w:p>
    <w:p>
      <w:pPr>
        <w:pStyle w:val="BodyText"/>
      </w:pPr>
      <w:r>
        <w:t xml:space="preserve">United States. Congress. House. Select Committee on Intelligence.</w:t>
      </w:r>
      <w:r>
        <w:t xml:space="preserve"> </w:t>
      </w:r>
      <w:r>
        <w:rPr>
          <w:iCs/>
          <w:i/>
        </w:rPr>
        <w:t xml:space="preserve">U.S. Intelligence Agencies and Activities: Hearings</w:t>
      </w:r>
      <w:r>
        <w:t xml:space="preserve">. Parts 1–6. 94th Cong., 1st–2nd sess., 1975–76. Washington, DC: U.S. Government Printing Office, 1976.</w:t>
      </w:r>
    </w:p>
    <w:p>
      <w:pPr>
        <w:pStyle w:val="BodyText"/>
      </w:pPr>
      <w:r>
        <w:t xml:space="preserve">United States. Congress. House Select Committee to Investigate Covert Arms Transactions with Iran and Senate Select Committee on Secret Military Assistance to Iran and the Nicaraguan Opposition.</w:t>
      </w:r>
      <w:r>
        <w:t xml:space="preserve"> </w:t>
      </w:r>
      <w:r>
        <w:rPr>
          <w:iCs/>
          <w:i/>
        </w:rPr>
        <w:t xml:space="preserve">Report of the Congressional Committees Investigating the Iran-Contra Affair: With Supplemental, Minority, and Additional Views</w:t>
      </w:r>
      <w:r>
        <w:t xml:space="preserve">. H. Rept. 100-433 and S. Rept. 100-216. Washington, DC: U.S. Government Printing Office, 1987.</w:t>
      </w:r>
    </w:p>
    <w:p>
      <w:pPr>
        <w:pStyle w:val="BodyText"/>
      </w:pPr>
      <w:r>
        <w:t xml:space="preserve">United States. Congress. Senate. Committee on Finance. Ranking member staff.</w:t>
      </w:r>
      <w:r>
        <w:t xml:space="preserve"> </w:t>
      </w:r>
      <w:r>
        <w:rPr>
          <w:iCs/>
          <w:i/>
        </w:rPr>
        <w:t xml:space="preserve">Looking the Other Way: How Wall Street Banks Enabled Jeffrey Epstein’s Sex Trafficking</w:t>
      </w:r>
      <w:r>
        <w:t xml:space="preserve">. August 4, 2026.</w:t>
      </w:r>
    </w:p>
    <w:p>
      <w:pPr>
        <w:pStyle w:val="BodyText"/>
      </w:pPr>
      <w:r>
        <w:t xml:space="preserve">United States. Congress. Senate.</w:t>
      </w:r>
      <w:r>
        <w:t xml:space="preserve"> </w:t>
      </w:r>
      <w:r>
        <w:rPr>
          <w:iCs/>
          <w:i/>
        </w:rPr>
        <w:t xml:space="preserve">Epstein Files Transparency Act II</w:t>
      </w:r>
      <w:r>
        <w:t xml:space="preserve">. S. 5005. 119th Cong., 2nd sess., introduced July 15, 2026.</w:t>
      </w:r>
    </w:p>
    <w:p>
      <w:pPr>
        <w:pStyle w:val="BodyText"/>
      </w:pPr>
      <w:r>
        <w:t xml:space="preserve">United States. Congress. Senate. Historical Office.</w:t>
      </w:r>
      <w:r>
        <w:t xml:space="preserve"> </w:t>
      </w:r>
      <w:r>
        <w:t xml:space="preserve">“</w:t>
      </w:r>
      <w:r>
        <w:t xml:space="preserve">Select Committee on Presidential Campaign Activities.</w:t>
      </w:r>
      <w:r>
        <w:t xml:space="preserve">”</w:t>
      </w:r>
      <w:r>
        <w:t xml:space="preserve"> </w:t>
      </w:r>
      <w:r>
        <w:t xml:space="preserve">https://www.senate.gov/about/powers-procedures/investigations/watergate.htm.</w:t>
      </w:r>
    </w:p>
    <w:p>
      <w:pPr>
        <w:pStyle w:val="BodyText"/>
      </w:pPr>
      <w:r>
        <w:t xml:space="preserve">United States. Congress. Senate. Historical Office.</w:t>
      </w:r>
      <w:r>
        <w:t xml:space="preserve"> </w:t>
      </w:r>
      <w:r>
        <w:t xml:space="preserve">“</w:t>
      </w:r>
      <w:r>
        <w:t xml:space="preserve">Senate Select Committee to Study Governmental Operations with Respect to Intelligence Activities (The Church Committee).</w:t>
      </w:r>
      <w:r>
        <w:t xml:space="preserve">”</w:t>
      </w:r>
      <w:r>
        <w:t xml:space="preserve"> </w:t>
      </w:r>
      <w:r>
        <w:t xml:space="preserve">Notable Senate Investigations. https://www.senate.gov/about/resources/pdf/church-committee-full-citations.pdf.</w:t>
      </w:r>
    </w:p>
    <w:p>
      <w:pPr>
        <w:pStyle w:val="BodyText"/>
      </w:pPr>
      <w:r>
        <w:t xml:space="preserve">United States. Congress. Senate. Roll Call Vote 116, on the nomination of R. Alexander Acosta. 115th Cong., 1st sess., April 27, 2017. https://www.senate.gov/legislative/LIS/roll_call_votes/vote1151/vote_115_1_00116.xml.</w:t>
      </w:r>
    </w:p>
    <w:p>
      <w:pPr>
        <w:pStyle w:val="BodyText"/>
      </w:pPr>
      <w:r>
        <w:t xml:space="preserve">United States. Congress. Senate. Select Committee on Intelligence.</w:t>
      </w:r>
      <w:r>
        <w:t xml:space="preserve"> </w:t>
      </w:r>
      <w:r>
        <w:rPr>
          <w:iCs/>
          <w:i/>
        </w:rPr>
        <w:t xml:space="preserve">Committee Study of the Central Intelligence Agency’s Detention and Interrogation Program</w:t>
      </w:r>
      <w:r>
        <w:t xml:space="preserve">. Foreword, Findings and Conclusions, and Executive Summary. S. Rept. 113-288. Released December 9, 2014.</w:t>
      </w:r>
    </w:p>
    <w:p>
      <w:pPr>
        <w:pStyle w:val="BodyText"/>
      </w:pPr>
      <w:r>
        <w:t xml:space="preserve">United States. Congress. Senate. Select Committee on Intelligence.</w:t>
      </w:r>
      <w:r>
        <w:t xml:space="preserve"> </w:t>
      </w:r>
      <w:r>
        <w:rPr>
          <w:iCs/>
          <w:i/>
        </w:rPr>
        <w:t xml:space="preserve">Current and Projected National Security Threats to the United States</w:t>
      </w:r>
      <w:r>
        <w:t xml:space="preserve">. Open hearing, March 12, 2013.</w:t>
      </w:r>
    </w:p>
    <w:p>
      <w:pPr>
        <w:pStyle w:val="BodyText"/>
      </w:pPr>
      <w:r>
        <w:t xml:space="preserve">United States. Congress. Senate. Select Committee on Intelligence. Terms of reference for the study of the CIA detention and interrogation program. Adopted March 5, 2009.</w:t>
      </w:r>
    </w:p>
    <w:p>
      <w:pPr>
        <w:pStyle w:val="BodyText"/>
      </w:pPr>
      <w:r>
        <w:t xml:space="preserve">United States. Congress. Senate. Select Committee on Presidential Campaign Activities.</w:t>
      </w:r>
      <w:r>
        <w:t xml:space="preserve"> </w:t>
      </w:r>
      <w:r>
        <w:rPr>
          <w:iCs/>
          <w:i/>
        </w:rPr>
        <w:t xml:space="preserve">Final Report</w:t>
      </w:r>
      <w:r>
        <w:t xml:space="preserve">. S. Rept. 93-981. 93rd Cong., 2nd sess., 1974. https://archive.org/details/WatergateErvinCommitteeReport.</w:t>
      </w:r>
    </w:p>
    <w:p>
      <w:pPr>
        <w:pStyle w:val="BodyText"/>
      </w:pPr>
      <w:r>
        <w:t xml:space="preserve">United States. Congress. Senate. Select Committee to Study Governmental Operations with Respect to Intelligence Activities.</w:t>
      </w:r>
      <w:r>
        <w:t xml:space="preserve"> </w:t>
      </w:r>
      <w:r>
        <w:rPr>
          <w:iCs/>
          <w:i/>
        </w:rPr>
        <w:t xml:space="preserve">Alleged Assassination Plots Involving Foreign Leaders: An Interim Report</w:t>
      </w:r>
      <w:r>
        <w:t xml:space="preserve">. S. Rept. 94-465. November 20, 1975.</w:t>
      </w:r>
    </w:p>
    <w:p>
      <w:pPr>
        <w:pStyle w:val="BodyText"/>
      </w:pPr>
      <w:r>
        <w:t xml:space="preserve">United States. Congress. Senate. Select Committee to Study Governmental Operations with Respect to Intelligence Activities.</w:t>
      </w:r>
      <w:r>
        <w:t xml:space="preserve"> </w:t>
      </w:r>
      <w:r>
        <w:rPr>
          <w:iCs/>
          <w:i/>
        </w:rPr>
        <w:t xml:space="preserve">Final Report</w:t>
      </w:r>
      <w:r>
        <w:t xml:space="preserve">. Books 1–6. S. Rept. 94-755. Washington, DC: U.S. Government Printing Office, 1976.</w:t>
      </w:r>
    </w:p>
    <w:p>
      <w:pPr>
        <w:pStyle w:val="BodyText"/>
      </w:pPr>
      <w:r>
        <w:t xml:space="preserve">United States. Congress. Senate. Select Committee to Study Governmental Operations with Respect to Intelligence Activities.</w:t>
      </w:r>
      <w:r>
        <w:t xml:space="preserve"> </w:t>
      </w:r>
      <w:r>
        <w:rPr>
          <w:iCs/>
          <w:i/>
        </w:rPr>
        <w:t xml:space="preserve">Intelligence Activities: Hearings</w:t>
      </w:r>
      <w:r>
        <w:t xml:space="preserve">. Vols. 1–7. 94th Cong., 1st sess. Washington, DC: U.S. Government Printing Office, 1975–76.</w:t>
      </w:r>
    </w:p>
    <w:p>
      <w:pPr>
        <w:pStyle w:val="BodyText"/>
      </w:pPr>
      <w:r>
        <w:t xml:space="preserve">United States. Congress. Senate. Select Committee to Study Governmental Operations with Respect to Intelligence Activities.</w:t>
      </w:r>
      <w:r>
        <w:t xml:space="preserve"> </w:t>
      </w:r>
      <w:r>
        <w:rPr>
          <w:iCs/>
          <w:i/>
        </w:rPr>
        <w:t xml:space="preserve">Rules of Procedure for the Select Committee to Study Governmental Operations with Respect to Intelligence Activities</w:t>
      </w:r>
      <w:r>
        <w:t xml:space="preserve">. Committee print. Washington, DC: U.S. Government Printing Office, 1975.</w:t>
      </w:r>
    </w:p>
    <w:p>
      <w:pPr>
        <w:pStyle w:val="BodyText"/>
      </w:pPr>
      <w:r>
        <w:t xml:space="preserve">United States. Congress. Senate. S. Res. 194. 93rd Cong., 1st sess. Submitted November 2, 1973; agreed to November 7, 1973.</w:t>
      </w:r>
      <w:r>
        <w:t xml:space="preserve"> </w:t>
      </w:r>
      <w:r>
        <w:rPr>
          <w:iCs/>
          <w:i/>
        </w:rPr>
        <w:t xml:space="preserve">Congressional Record</w:t>
      </w:r>
      <w:r>
        <w:t xml:space="preserve"> </w:t>
      </w:r>
      <w:r>
        <w:t xml:space="preserve">119 (1973): 35714, 36094–36095. https://www.govinfo.gov/content/pkg/GPO-CRECB-1973-pt28/pdf/GPO-CRECB-1973-pt28-2-1.pdf.</w:t>
      </w:r>
    </w:p>
    <w:p>
      <w:pPr>
        <w:pStyle w:val="BodyText"/>
      </w:pPr>
      <w:r>
        <w:t xml:space="preserve">United States. Congress. Senate. S. Res. 400. 94th Cong., 2nd sess., 1976.</w:t>
      </w:r>
    </w:p>
    <w:p>
      <w:pPr>
        <w:pStyle w:val="BodyText"/>
      </w:pPr>
      <w:r>
        <w:t xml:space="preserve">United States. Congress. Senate. S. Res. 21. 94th Cong., 1st sess., 1975.</w:t>
      </w:r>
    </w:p>
    <w:p>
      <w:pPr>
        <w:pStyle w:val="BodyText"/>
      </w:pPr>
      <w:r>
        <w:t xml:space="preserve">United States. Congress. Senate. S. Res. 23. 100th Cong., 1st sess., January 6, 1987.</w:t>
      </w:r>
    </w:p>
    <w:p>
      <w:pPr>
        <w:pStyle w:val="BodyText"/>
      </w:pPr>
      <w:r>
        <w:t xml:space="preserve">United States. Congress. Senate.</w:t>
      </w:r>
      <w:r>
        <w:t xml:space="preserve"> </w:t>
      </w:r>
      <w:r>
        <w:rPr>
          <w:iCs/>
          <w:i/>
        </w:rPr>
        <w:t xml:space="preserve">Standing Rules of the Senate</w:t>
      </w:r>
      <w:r>
        <w:t xml:space="preserve">. S. Doc. 113-18. 113th Cong., 1st sess., 2013. https://www.govinfo.gov/content/pkg/CDOC-113sdoc18/pdf/CDOC-113sdoc18.pdf.</w:t>
      </w:r>
    </w:p>
    <w:p>
      <w:pPr>
        <w:pStyle w:val="BodyText"/>
      </w:pPr>
      <w:r>
        <w:t xml:space="preserve">United States. Congress. Senate.</w:t>
      </w:r>
      <w:r>
        <w:t xml:space="preserve"> </w:t>
      </w:r>
      <w:r>
        <w:t xml:space="preserve">“</w:t>
      </w:r>
      <w:r>
        <w:t xml:space="preserve">Senators from West Virginia.</w:t>
      </w:r>
      <w:r>
        <w:t xml:space="preserve">”</w:t>
      </w:r>
      <w:r>
        <w:t xml:space="preserve"> </w:t>
      </w:r>
      <w:r>
        <w:t xml:space="preserve">https://www.senate.gov/states/WV/senators.htm.</w:t>
      </w:r>
    </w:p>
    <w:p>
      <w:pPr>
        <w:pStyle w:val="BodyText"/>
      </w:pPr>
      <w:r>
        <w:t xml:space="preserve">United States.</w:t>
      </w:r>
      <w:r>
        <w:t xml:space="preserve"> </w:t>
      </w:r>
      <w:r>
        <w:rPr>
          <w:iCs/>
          <w:i/>
        </w:rPr>
        <w:t xml:space="preserve">Congressional Record</w:t>
      </w:r>
      <w:r>
        <w:t xml:space="preserve">. Vol. 171 (daily ed. November 18, 2025): H4725–H4733 (consideration of H.R. 4405).</w:t>
      </w:r>
    </w:p>
    <w:p>
      <w:pPr>
        <w:pStyle w:val="BodyText"/>
      </w:pPr>
      <w:r>
        <w:t xml:space="preserve">United States.</w:t>
      </w:r>
      <w:r>
        <w:t xml:space="preserve"> </w:t>
      </w:r>
      <w:r>
        <w:rPr>
          <w:iCs/>
          <w:i/>
        </w:rPr>
        <w:t xml:space="preserve">Congressional Record</w:t>
      </w:r>
      <w:r>
        <w:t xml:space="preserve">. Vol. 172 (daily ed. February 24, 2026): H2266–H2267 (Rep. Massie). https://www.govinfo.gov/content/pkg/CREC-2026-02-24/html/CREC-2026-02-24-pt1-PgH2266.htm.</w:t>
      </w:r>
    </w:p>
    <w:p>
      <w:pPr>
        <w:pStyle w:val="BodyText"/>
      </w:pPr>
      <w:r>
        <w:t xml:space="preserve">United States. Constitution. Art. I, § 6, cl. 1.</w:t>
      </w:r>
    </w:p>
    <w:p>
      <w:pPr>
        <w:pStyle w:val="BodyText"/>
      </w:pPr>
      <w:r>
        <w:t xml:space="preserve">United States. Continuing Appropriations Act for Fiscal Year 1983. Public Law 97-377, § 793 (Boland I). December 21, 1982.</w:t>
      </w:r>
    </w:p>
    <w:p>
      <w:pPr>
        <w:pStyle w:val="BodyText"/>
      </w:pPr>
      <w:r>
        <w:t xml:space="preserve">United States. Continuing Appropriations Act for Fiscal Year 1986. Public Law 99-190, § 8050 (Boland III). December 19, 1985.</w:t>
      </w:r>
    </w:p>
    <w:p>
      <w:pPr>
        <w:pStyle w:val="BodyText"/>
      </w:pPr>
      <w:r>
        <w:t xml:space="preserve">United States. Continuing Appropriations Act for Fiscal Year 1985. Public Law 98-473, § 8066 (Boland II). October 12, 1984.</w:t>
      </w:r>
    </w:p>
    <w:p>
      <w:pPr>
        <w:pStyle w:val="BodyText"/>
      </w:pPr>
      <w:r>
        <w:t xml:space="preserve">United States. Crime Victims’ Rights Act. 18 U.S.C. § 3771.</w:t>
      </w:r>
    </w:p>
    <w:p>
      <w:pPr>
        <w:pStyle w:val="BodyText"/>
      </w:pPr>
      <w:r>
        <w:t xml:space="preserve">United States. Department of Justice.</w:t>
      </w:r>
      <w:r>
        <w:t xml:space="preserve"> </w:t>
      </w:r>
      <w:r>
        <w:rPr>
          <w:iCs/>
          <w:i/>
        </w:rPr>
        <w:t xml:space="preserve">Administration White Paper: Bulk Collection of Telephony Metadata under Section 215 of the USA PATRIOT Act</w:t>
      </w:r>
      <w:r>
        <w:t xml:space="preserve">. August 9, 2013.</w:t>
      </w:r>
    </w:p>
    <w:p>
      <w:pPr>
        <w:pStyle w:val="BodyText"/>
      </w:pPr>
      <w:r>
        <w:t xml:space="preserve">United States. Department of Justice and Federal Bureau of Investigation. Memorandum concerning the Jeffrey Epstein investigation and further disclosure. Undated and unsigned; made public July 2025. https://www.justice.gov/opa/media/1407001/dl.</w:t>
      </w:r>
    </w:p>
    <w:p>
      <w:pPr>
        <w:pStyle w:val="BodyText"/>
      </w:pPr>
      <w:r>
        <w:t xml:space="preserve">United States. Department of Justice.</w:t>
      </w:r>
      <w:r>
        <w:t xml:space="preserve"> </w:t>
      </w:r>
      <w:r>
        <w:rPr>
          <w:iCs/>
          <w:i/>
        </w:rPr>
        <w:t xml:space="preserve">Epstein Files Transparency Act Compliance Letter</w:t>
      </w:r>
      <w:r>
        <w:t xml:space="preserve">. December 19, 2025. https://www.justice.gov/opa/media/1434851/dl.</w:t>
      </w:r>
    </w:p>
    <w:p>
      <w:pPr>
        <w:pStyle w:val="BodyText"/>
      </w:pPr>
      <w:r>
        <w:t xml:space="preserve">United States. Department of Justice.</w:t>
      </w:r>
      <w:r>
        <w:t xml:space="preserve"> </w:t>
      </w:r>
      <w:r>
        <w:rPr>
          <w:iCs/>
          <w:i/>
        </w:rPr>
        <w:t xml:space="preserve">Epstein Files Transparency Act Disclosures</w:t>
      </w:r>
      <w:r>
        <w:t xml:space="preserve">. Data Sets 1–12, including original records, correspondence, processing guidance, and native media. Collection released 2025–26. https://www.justice.gov/epstein/doj-disclosures.</w:t>
      </w:r>
    </w:p>
    <w:p>
      <w:pPr>
        <w:pStyle w:val="BodyText"/>
      </w:pPr>
      <w:r>
        <w:t xml:space="preserve">United States. Department of Justice.</w:t>
      </w:r>
      <w:r>
        <w:t xml:space="preserve"> </w:t>
      </w:r>
      <w:r>
        <w:rPr>
          <w:iCs/>
          <w:i/>
        </w:rPr>
        <w:t xml:space="preserve">Epstein Files Transparency Act: Section 3 Report to Congress</w:t>
      </w:r>
      <w:r>
        <w:t xml:space="preserve">. February 14, 2026. https://www.justice.gov/opa/media/1434856/dl.</w:t>
      </w:r>
    </w:p>
    <w:p>
      <w:pPr>
        <w:pStyle w:val="BodyText"/>
      </w:pPr>
      <w:r>
        <w:t xml:space="preserve">United States. Department of Justice. Litigation disclosure concerning destroyed CIA interrogation videotapes. March 2, 2009. U.S. District Court for the Southern District of New York.</w:t>
      </w:r>
    </w:p>
    <w:p>
      <w:pPr>
        <w:pStyle w:val="BodyText"/>
      </w:pPr>
      <w:r>
        <w:t xml:space="preserve">United States. Department of Justice. Office of Information Policy.</w:t>
      </w:r>
      <w:r>
        <w:t xml:space="preserve"> </w:t>
      </w:r>
      <w:r>
        <w:rPr>
          <w:iCs/>
          <w:i/>
        </w:rPr>
        <w:t xml:space="preserve">EFTA-FOIA Crosswalk</w:t>
      </w:r>
      <w:r>
        <w:t xml:space="preserve">. April 30, 2026. https://www.justice.gov/oip/media/1438931/dl.</w:t>
      </w:r>
    </w:p>
    <w:p>
      <w:pPr>
        <w:pStyle w:val="BodyText"/>
      </w:pPr>
      <w:r>
        <w:t xml:space="preserve">United States. Department of Justice. Office of Legal Counsel.</w:t>
      </w:r>
      <w:r>
        <w:t xml:space="preserve"> </w:t>
      </w:r>
      <w:r>
        <w:t xml:space="preserve">“</w:t>
      </w:r>
      <w:r>
        <w:t xml:space="preserve">Prosecution for Contempt of Congress of an Executive Branch Official Who Has Asserted a Claim of Executive Privilege.</w:t>
      </w:r>
      <w:r>
        <w:t xml:space="preserve">”</w:t>
      </w:r>
      <w:r>
        <w:t xml:space="preserve"> </w:t>
      </w:r>
      <w:r>
        <w:t xml:space="preserve">8 Op. O.L.C. 101 (1984). https://www.justice.gov/file/150521/dl.</w:t>
      </w:r>
    </w:p>
    <w:p>
      <w:pPr>
        <w:pStyle w:val="BodyText"/>
      </w:pPr>
      <w:r>
        <w:t xml:space="preserve">United States. Department of Justice. Office of Legal Counsel.</w:t>
      </w:r>
      <w:r>
        <w:t xml:space="preserve"> </w:t>
      </w:r>
      <w:r>
        <w:t xml:space="preserve">“</w:t>
      </w:r>
      <w:r>
        <w:t xml:space="preserve">Richard Helms’ Eligibility Under 5 U.S.C. § 8314 to Receive an Annuity or Retired Pay.</w:t>
      </w:r>
      <w:r>
        <w:t xml:space="preserve">”</w:t>
      </w:r>
      <w:r>
        <w:t xml:space="preserve"> </w:t>
      </w:r>
      <w:r>
        <w:t xml:space="preserve">November 3, 1977. 1 Op. O.L.C. 252 (1977).</w:t>
      </w:r>
    </w:p>
    <w:p>
      <w:pPr>
        <w:pStyle w:val="BodyText"/>
      </w:pPr>
      <w:r>
        <w:t xml:space="preserve">United States. Department of Justice. Office of Legal Counsel.</w:t>
      </w:r>
      <w:r>
        <w:t xml:space="preserve"> </w:t>
      </w:r>
      <w:r>
        <w:t xml:space="preserve">“</w:t>
      </w:r>
      <w:r>
        <w:t xml:space="preserve">Whether Congress May Use Inherent Contempt to Punish Executive Branch Officials Who Withhold Subpoenaed Materials Based on a Presidential Assertion of Executive Privilege.</w:t>
      </w:r>
      <w:r>
        <w:t xml:space="preserve">”</w:t>
      </w:r>
      <w:r>
        <w:t xml:space="preserve"> </w:t>
      </w:r>
      <w:r>
        <w:t xml:space="preserve">December 20, 2024. https://www.justice.gov/olc/media/1382626/dl.</w:t>
      </w:r>
    </w:p>
    <w:p>
      <w:pPr>
        <w:pStyle w:val="BodyText"/>
      </w:pPr>
      <w:r>
        <w:t xml:space="preserve">United States. Department of Justice. Office of Professional Responsibility.</w:t>
      </w:r>
      <w:r>
        <w:t xml:space="preserve"> </w:t>
      </w:r>
      <w:r>
        <w:rPr>
          <w:iCs/>
          <w:i/>
        </w:rPr>
        <w:t xml:space="preserve">Investigation into the Office of Legal Counsel’s Memoranda concerning Issues Relating to the Central Intelligence Agency’s Use of</w:t>
      </w:r>
      <w:r>
        <w:rPr>
          <w:iCs/>
          <w:i/>
        </w:rPr>
        <w:t xml:space="preserve"> </w:t>
      </w:r>
      <w:r>
        <w:rPr>
          <w:iCs/>
          <w:i/>
        </w:rPr>
        <w:t xml:space="preserve">“</w:t>
      </w:r>
      <w:r>
        <w:rPr>
          <w:iCs/>
          <w:i/>
        </w:rPr>
        <w:t xml:space="preserve">Enhanced Interrogation Techniques</w:t>
      </w:r>
      <w:r>
        <w:rPr>
          <w:iCs/>
          <w:i/>
        </w:rPr>
        <w:t xml:space="preserve">”</w:t>
      </w:r>
      <w:r>
        <w:rPr>
          <w:iCs/>
          <w:i/>
        </w:rPr>
        <w:t xml:space="preserve"> </w:t>
      </w:r>
      <w:r>
        <w:rPr>
          <w:iCs/>
          <w:i/>
        </w:rPr>
        <w:t xml:space="preserve">on Suspected Terrorists</w:t>
      </w:r>
      <w:r>
        <w:t xml:space="preserve">. July 29, 2009.</w:t>
      </w:r>
    </w:p>
    <w:p>
      <w:pPr>
        <w:pStyle w:val="BodyText"/>
      </w:pPr>
      <w:r>
        <w:t xml:space="preserve">United States. Department of Justice. Office of Professional Responsibility.</w:t>
      </w:r>
      <w:r>
        <w:t xml:space="preserve"> </w:t>
      </w:r>
      <w:r>
        <w:rPr>
          <w:iCs/>
          <w:i/>
        </w:rPr>
        <w:t xml:space="preserve">Investigation into the U.S. Attorney’s Office for the Southern District of Florida’s Resolution of Its 2006–2008 Federal Criminal Investigation of Jeffrey Epstein and Its Interactions with Victims during the Investigation</w:t>
      </w:r>
      <w:r>
        <w:t xml:space="preserve">. Executive Summary. November 2020.</w:t>
      </w:r>
    </w:p>
    <w:p>
      <w:pPr>
        <w:pStyle w:val="BodyText"/>
      </w:pPr>
      <w:r>
        <w:t xml:space="preserve">United States. Department of Justice. Office of the Attorney General.</w:t>
      </w:r>
      <w:r>
        <w:t xml:space="preserve"> </w:t>
      </w:r>
      <w:r>
        <w:t xml:space="preserve">“</w:t>
      </w:r>
      <w:r>
        <w:t xml:space="preserve">Attorney General Pamela Bondi Releases First Phase of Declassified Epstein Files.</w:t>
      </w:r>
      <w:r>
        <w:t xml:space="preserve">”</w:t>
      </w:r>
      <w:r>
        <w:t xml:space="preserve"> </w:t>
      </w:r>
      <w:r>
        <w:t xml:space="preserve">February 27, 2025.</w:t>
      </w:r>
    </w:p>
    <w:p>
      <w:pPr>
        <w:pStyle w:val="BodyText"/>
      </w:pPr>
      <w:r>
        <w:t xml:space="preserve">United States. Department of Justice. Office of the Deputy Attorney General.</w:t>
      </w:r>
      <w:r>
        <w:t xml:space="preserve"> </w:t>
      </w:r>
      <w:r>
        <w:rPr>
          <w:iCs/>
          <w:i/>
        </w:rPr>
        <w:t xml:space="preserve">Epstein Files Transparency Act Compliance Letter</w:t>
      </w:r>
      <w:r>
        <w:t xml:space="preserve">. January 30, 2026. https://www.justice.gov/opa/media/1426091/dl.</w:t>
      </w:r>
    </w:p>
    <w:p>
      <w:pPr>
        <w:pStyle w:val="BodyText"/>
      </w:pPr>
      <w:r>
        <w:t xml:space="preserve">United States. Department of Justice. Office of the Inspector General.</w:t>
      </w:r>
      <w:r>
        <w:t xml:space="preserve"> </w:t>
      </w:r>
      <w:r>
        <w:t xml:space="preserve">“</w:t>
      </w:r>
      <w:r>
        <w:t xml:space="preserve">Audit of the Department of Justice’s Compliance with the Epstein Files Transparency Act.</w:t>
      </w:r>
      <w:r>
        <w:t xml:space="preserve">”</w:t>
      </w:r>
      <w:r>
        <w:t xml:space="preserve"> </w:t>
      </w:r>
      <w:r>
        <w:t xml:space="preserve">Ongoing-work entry, 2026. https://oig.justice.gov/ongoing-work.</w:t>
      </w:r>
    </w:p>
    <w:p>
      <w:pPr>
        <w:pStyle w:val="BodyText"/>
      </w:pPr>
      <w:r>
        <w:t xml:space="preserve">United States. Department of Justice.</w:t>
      </w:r>
      <w:r>
        <w:t xml:space="preserve"> </w:t>
      </w:r>
      <w:r>
        <w:t xml:space="preserve">“</w:t>
      </w:r>
      <w:r>
        <w:t xml:space="preserve">Report under Public Law 119-38.</w:t>
      </w:r>
      <w:r>
        <w:t xml:space="preserve">”</w:t>
      </w:r>
      <w:r>
        <w:t xml:space="preserve"> </w:t>
      </w:r>
      <w:r>
        <w:rPr>
          <w:iCs/>
          <w:i/>
        </w:rPr>
        <w:t xml:space="preserve">Federal Register</w:t>
      </w:r>
      <w:r>
        <w:t xml:space="preserve"> </w:t>
      </w:r>
      <w:r>
        <w:t xml:space="preserve">91 (August 27, 2026): 55356–55362. Document 2026-17533. https://www.federalregister.gov/documents/2026/08/27/2026-17533/report-under-public-law-119-38.</w:t>
      </w:r>
    </w:p>
    <w:p>
      <w:pPr>
        <w:pStyle w:val="BodyText"/>
      </w:pPr>
      <w:r>
        <w:t xml:space="preserve">United States. Department of Justice. Special Prosecutor regulation. Order No. 551-73, November 2, 1973, 38 Fed. Reg. 30738–39, as amended by Order No. 554-73, November 19, 1973, 38 Fed. Reg. 32805.</w:t>
      </w:r>
    </w:p>
    <w:p>
      <w:pPr>
        <w:pStyle w:val="BodyText"/>
      </w:pPr>
      <w:r>
        <w:t xml:space="preserve">United States. Department of Justice. United States Attorney’s Office for the Southern District of Florida. Non-prosecution agreement with Jeffrey Epstein. September 24, 2007.</w:t>
      </w:r>
    </w:p>
    <w:p>
      <w:pPr>
        <w:pStyle w:val="BodyText"/>
      </w:pPr>
      <w:r>
        <w:t xml:space="preserve">United States. Detainee Treatment Act of 2005. Public Law 109-148, div. A, title X. 119 Stat. 2739. December 30, 2005.</w:t>
      </w:r>
    </w:p>
    <w:p>
      <w:pPr>
        <w:pStyle w:val="BodyText"/>
      </w:pPr>
      <w:r>
        <w:t xml:space="preserve">United States. Endangered Species Act, § 11(g). 16 U.S.C. § 1540(g).</w:t>
      </w:r>
    </w:p>
    <w:p>
      <w:pPr>
        <w:pStyle w:val="BodyText"/>
      </w:pPr>
      <w:r>
        <w:t xml:space="preserve">United States. Epstein Files Transparency Act. Public Law 119-38. 139 Stat. 656 (2025).</w:t>
      </w:r>
    </w:p>
    <w:p>
      <w:pPr>
        <w:pStyle w:val="BodyText"/>
      </w:pPr>
      <w:r>
        <w:t xml:space="preserve">United States. Espionage and disclosure-of-classified-information provisions. 18 U.S.C. §§ 793–798.</w:t>
      </w:r>
    </w:p>
    <w:p>
      <w:pPr>
        <w:pStyle w:val="BodyText"/>
      </w:pPr>
      <w:r>
        <w:t xml:space="preserve">United States. Ethics in Government Act of 1978. Public Law 95-521. 92 Stat. 1824. October 26, 1978.</w:t>
      </w:r>
    </w:p>
    <w:p>
      <w:pPr>
        <w:pStyle w:val="BodyText"/>
      </w:pPr>
      <w:r>
        <w:t xml:space="preserve">United States. Executive Order 13526.</w:t>
      </w:r>
      <w:r>
        <w:t xml:space="preserve"> </w:t>
      </w:r>
      <w:r>
        <w:t xml:space="preserve">“</w:t>
      </w:r>
      <w:r>
        <w:t xml:space="preserve">Classified National Security Information.</w:t>
      </w:r>
      <w:r>
        <w:t xml:space="preserve">”</w:t>
      </w:r>
      <w:r>
        <w:t xml:space="preserve"> </w:t>
      </w:r>
      <w:r>
        <w:t xml:space="preserve">December 29, 2009.</w:t>
      </w:r>
      <w:r>
        <w:t xml:space="preserve"> </w:t>
      </w:r>
      <w:r>
        <w:rPr>
          <w:iCs/>
          <w:i/>
        </w:rPr>
        <w:t xml:space="preserve">Federal Register</w:t>
      </w:r>
      <w:r>
        <w:t xml:space="preserve"> </w:t>
      </w:r>
      <w:r>
        <w:t xml:space="preserve">75 (January 5, 2010): 707.</w:t>
      </w:r>
    </w:p>
    <w:p>
      <w:pPr>
        <w:pStyle w:val="BodyText"/>
      </w:pPr>
      <w:r>
        <w:t xml:space="preserve">United States. Executive Order 11905.</w:t>
      </w:r>
      <w:r>
        <w:t xml:space="preserve"> </w:t>
      </w:r>
      <w:r>
        <w:t xml:space="preserve">“</w:t>
      </w:r>
      <w:r>
        <w:t xml:space="preserve">United States Foreign Intelligence Activities.</w:t>
      </w:r>
      <w:r>
        <w:t xml:space="preserve">”</w:t>
      </w:r>
      <w:r>
        <w:t xml:space="preserve"> </w:t>
      </w:r>
      <w:r>
        <w:t xml:space="preserve">February 18, 1976.</w:t>
      </w:r>
      <w:r>
        <w:t xml:space="preserve"> </w:t>
      </w:r>
      <w:r>
        <w:rPr>
          <w:iCs/>
          <w:i/>
        </w:rPr>
        <w:t xml:space="preserve">Federal Register</w:t>
      </w:r>
      <w:r>
        <w:t xml:space="preserve"> </w:t>
      </w:r>
      <w:r>
        <w:t xml:space="preserve">41 (February 19, 1976): 7703.</w:t>
      </w:r>
    </w:p>
    <w:p>
      <w:pPr>
        <w:pStyle w:val="BodyText"/>
      </w:pPr>
      <w:r>
        <w:t xml:space="preserve">United States. Fair Credit Reporting Act. 15 U.S.C. §§ 1681n–1681o.</w:t>
      </w:r>
    </w:p>
    <w:p>
      <w:pPr>
        <w:pStyle w:val="BodyText"/>
      </w:pPr>
      <w:r>
        <w:t xml:space="preserve">United States. Federal Rules of Civil Procedure. Rule 53.</w:t>
      </w:r>
    </w:p>
    <w:p>
      <w:pPr>
        <w:pStyle w:val="BodyText"/>
      </w:pPr>
      <w:r>
        <w:t xml:space="preserve">United States. Federal Rules of Criminal Procedure. Rule 6(e).</w:t>
      </w:r>
    </w:p>
    <w:p>
      <w:pPr>
        <w:pStyle w:val="BodyText"/>
      </w:pPr>
      <w:r>
        <w:t xml:space="preserve">United States. Federal Rules of Evidence. Rule 501.</w:t>
      </w:r>
    </w:p>
    <w:p>
      <w:pPr>
        <w:pStyle w:val="BodyText"/>
      </w:pPr>
      <w:r>
        <w:t xml:space="preserve">United States. FISA Amendments Act of 2008. Public Law 110-261. 122 Stat. 2436. July 10, 2008.</w:t>
      </w:r>
    </w:p>
    <w:p>
      <w:pPr>
        <w:pStyle w:val="BodyText"/>
      </w:pPr>
      <w:r>
        <w:t xml:space="preserve">United States. Foreign Assistance Act of 1974. Public Law 93-559, § 32 (Hughes-Ryan Amendment, adding § 662 to the Foreign Assistance Act of 1961). December 30, 1974. Formerly 22 U.S.C. § 2422.</w:t>
      </w:r>
    </w:p>
    <w:p>
      <w:pPr>
        <w:pStyle w:val="BodyText"/>
      </w:pPr>
      <w:r>
        <w:t xml:space="preserve">United States. Foreign Intelligence Surveillance Act of 1978. Public Law 95-511. October 25, 1978.</w:t>
      </w:r>
    </w:p>
    <w:p>
      <w:pPr>
        <w:pStyle w:val="BodyText"/>
      </w:pPr>
      <w:r>
        <w:t xml:space="preserve">United States. Foreign Operations, Export Financing, and Related Programs Appropriations Act, 1998. Public Law 105-118. 111 Stat. 2386. November 26, 1997.</w:t>
      </w:r>
    </w:p>
    <w:p>
      <w:pPr>
        <w:pStyle w:val="BodyText"/>
      </w:pPr>
      <w:r>
        <w:t xml:space="preserve">United States. Freedom of Information Act. 5 U.S.C. § 552.</w:t>
      </w:r>
    </w:p>
    <w:p>
      <w:pPr>
        <w:pStyle w:val="BodyText"/>
      </w:pPr>
      <w:r>
        <w:t xml:space="preserve">United States. Independent Counsel Reauthorization Act of 1994. Public Law 103-270. 108 Stat. 732. June 30, 1994.</w:t>
      </w:r>
    </w:p>
    <w:p>
      <w:pPr>
        <w:pStyle w:val="BodyText"/>
      </w:pPr>
      <w:r>
        <w:t xml:space="preserve">United States. Inspector General Act of 1978. Public Law 95-452. Formerly 5 U.S.C. app. 3; recodified at 5 U.S.C. §§ 401–424, including §§ 403 and 416.</w:t>
      </w:r>
    </w:p>
    <w:p>
      <w:pPr>
        <w:pStyle w:val="BodyText"/>
      </w:pPr>
      <w:r>
        <w:t xml:space="preserve">United States. Intelligence Authorization Act for Fiscal Year 1986. Public Law 99-169, § 105 (Boland III). December 4, 1985.</w:t>
      </w:r>
    </w:p>
    <w:p>
      <w:pPr>
        <w:pStyle w:val="BodyText"/>
      </w:pPr>
      <w:r>
        <w:t xml:space="preserve">United States. Intelligence Authorization Act, Fiscal Year 1991. Public Law 102-88, title VI, § 602(a)(2). 105 Stat. 442. August 14, 1991.</w:t>
      </w:r>
    </w:p>
    <w:p>
      <w:pPr>
        <w:pStyle w:val="BodyText"/>
      </w:pPr>
      <w:r>
        <w:t xml:space="preserve">United States. Intelligence Oversight Act of 1980. Public Law 96-450, title IV. October 14, 1980.</w:t>
      </w:r>
    </w:p>
    <w:p>
      <w:pPr>
        <w:pStyle w:val="BodyText"/>
      </w:pPr>
      <w:r>
        <w:t xml:space="preserve">United States. Military Commissions Act of 2006. Public Law 109-366. 120 Stat. 2600. October 17, 2006.</w:t>
      </w:r>
    </w:p>
    <w:p>
      <w:pPr>
        <w:pStyle w:val="BodyText"/>
      </w:pPr>
      <w:r>
        <w:t xml:space="preserve">United States. National Archives and Records Administration.</w:t>
      </w:r>
      <w:r>
        <w:t xml:space="preserve"> </w:t>
      </w:r>
      <w:r>
        <w:t xml:space="preserve">“</w:t>
      </w:r>
      <w:r>
        <w:t xml:space="preserve">Watergate and the Constitution.</w:t>
      </w:r>
      <w:r>
        <w:t xml:space="preserve">”</w:t>
      </w:r>
      <w:r>
        <w:t xml:space="preserve"> </w:t>
      </w:r>
      <w:r>
        <w:t xml:space="preserve">Chronology. https://www.archives.gov/education/lessons/watergate-constitution/chronology.html.</w:t>
      </w:r>
    </w:p>
    <w:p>
      <w:pPr>
        <w:pStyle w:val="BodyText"/>
      </w:pPr>
      <w:r>
        <w:t xml:space="preserve">United States. National Defense Authorization Act for Fiscal Year 2016. Public Law 114-92, § 1045. November 25, 2015.</w:t>
      </w:r>
    </w:p>
    <w:p>
      <w:pPr>
        <w:pStyle w:val="BodyText"/>
      </w:pPr>
      <w:r>
        <w:t xml:space="preserve">United States. National Security Act of 1947. Intelligence oversight and covert-action notification provisions, 50 U.S.C. §§ 3091–3093; formerly §§ 501–503 of the act.</w:t>
      </w:r>
    </w:p>
    <w:p>
      <w:pPr>
        <w:pStyle w:val="BodyText"/>
      </w:pPr>
      <w:r>
        <w:t xml:space="preserve">United States. National Security Agency. Office of the Inspector General.</w:t>
      </w:r>
      <w:r>
        <w:t xml:space="preserve"> </w:t>
      </w:r>
      <w:r>
        <w:rPr>
          <w:iCs/>
          <w:i/>
        </w:rPr>
        <w:t xml:space="preserve">ST-09-0002 Working Draft: Report on the President’s Surveillance Program</w:t>
      </w:r>
      <w:r>
        <w:t xml:space="preserve">. March 24, 2009. Released by the</w:t>
      </w:r>
      <w:r>
        <w:t xml:space="preserve"> </w:t>
      </w:r>
      <w:r>
        <w:rPr>
          <w:iCs/>
          <w:i/>
        </w:rPr>
        <w:t xml:space="preserve">Guardian</w:t>
      </w:r>
      <w:r>
        <w:t xml:space="preserve">, June 27, 2013.</w:t>
      </w:r>
    </w:p>
    <w:p>
      <w:pPr>
        <w:pStyle w:val="BodyText"/>
      </w:pPr>
      <w:r>
        <w:t xml:space="preserve">United States. OPEN Government Act of 2007. Public Law 110-175, § 4(b).</w:t>
      </w:r>
    </w:p>
    <w:p>
      <w:pPr>
        <w:pStyle w:val="BodyText"/>
      </w:pPr>
      <w:r>
        <w:t xml:space="preserve">United States. President’s Special Review Board.</w:t>
      </w:r>
      <w:r>
        <w:t xml:space="preserve"> </w:t>
      </w:r>
      <w:r>
        <w:rPr>
          <w:iCs/>
          <w:i/>
        </w:rPr>
        <w:t xml:space="preserve">Report of the President’s Special Review Board</w:t>
      </w:r>
      <w:r>
        <w:t xml:space="preserve">. John Tower, Chairman. Washington, DC: U.S. Government Printing Office, February 26, 1987.</w:t>
      </w:r>
    </w:p>
    <w:p>
      <w:pPr>
        <w:pStyle w:val="BodyText"/>
      </w:pPr>
      <w:r>
        <w:t xml:space="preserve">United States. Privacy Act of 1974. 5 U.S.C. § 552a, including subsections (g) and (j)(2).</w:t>
      </w:r>
    </w:p>
    <w:p>
      <w:pPr>
        <w:pStyle w:val="BodyText"/>
      </w:pPr>
      <w:r>
        <w:t xml:space="preserve">United States. Privacy and Civil Liberties Oversight Board. 42 U.S.C. § 2000ee.</w:t>
      </w:r>
    </w:p>
    <w:p>
      <w:pPr>
        <w:pStyle w:val="BodyText"/>
      </w:pPr>
      <w:r>
        <w:t xml:space="preserve">United States. Privacy and Civil Liberties Oversight Board.</w:t>
      </w:r>
      <w:r>
        <w:t xml:space="preserve"> </w:t>
      </w:r>
      <w:r>
        <w:rPr>
          <w:iCs/>
          <w:i/>
        </w:rPr>
        <w:t xml:space="preserve">Report on the Telephone Records Program Conducted under Section 215 of the USA PATRIOT Act and on the Operations of the Foreign Intelligence Surveillance Court</w:t>
      </w:r>
      <w:r>
        <w:t xml:space="preserve">. January 23, 2014.</w:t>
      </w:r>
    </w:p>
    <w:p>
      <w:pPr>
        <w:pStyle w:val="BodyText"/>
      </w:pPr>
      <w:r>
        <w:t xml:space="preserve">United States. Public Law 93-190. December 18, 1973 (jurisdiction over civil actions of the Senate Select Committee on Presidential Campaign Activities).</w:t>
      </w:r>
    </w:p>
    <w:p>
      <w:pPr>
        <w:pStyle w:val="BodyText"/>
      </w:pPr>
      <w:r>
        <w:t xml:space="preserve">United States. Resource Conservation and Recovery Act, § 7002. 42 U.S.C. § 6972.</w:t>
      </w:r>
    </w:p>
    <w:p>
      <w:pPr>
        <w:pStyle w:val="BodyText"/>
      </w:pPr>
      <w:r>
        <w:t xml:space="preserve">United States. Sarbanes-Oxley Act of 2002. Public Law 107-204. 116 Stat. 745. §§ 101 et seq., 404. 15 U.S.C. § 7211(h).</w:t>
      </w:r>
    </w:p>
    <w:p>
      <w:pPr>
        <w:pStyle w:val="BodyText"/>
      </w:pPr>
      <w:r>
        <w:t xml:space="preserve">United States. Securities Exchange Act of 1934. § 16(b). 15 U.S.C. § 78p(b).</w:t>
      </w:r>
    </w:p>
    <w:p>
      <w:pPr>
        <w:pStyle w:val="BodyText"/>
      </w:pPr>
      <w:r>
        <w:t xml:space="preserve">United States. Senate. Twelve senators. Letter requesting a Department of Justice Inspector General audit of Epstein Files Transparency Act compliance. December 24, 2025. https://www.blumenthal.senate.gov/imo/media/doc/20251224lettertodojoigonepsteinreleasefinal.pdf.</w:t>
      </w:r>
    </w:p>
    <w:p>
      <w:pPr>
        <w:pStyle w:val="BodyText"/>
      </w:pPr>
      <w:r>
        <w:t xml:space="preserve">United States. United States Code. Title 18, § 3282(a) (limitations).</w:t>
      </w:r>
    </w:p>
    <w:p>
      <w:pPr>
        <w:pStyle w:val="BodyText"/>
      </w:pPr>
      <w:r>
        <w:t xml:space="preserve">United States. United States Code. Title 18, §§ 6002, 6005 (immunity of witnesses before Congress).</w:t>
      </w:r>
    </w:p>
    <w:p>
      <w:pPr>
        <w:pStyle w:val="BodyText"/>
      </w:pPr>
      <w:r>
        <w:t xml:space="preserve">United States. United States Code. Title 28, § 1365 (Senate civil enforcement of subpoenas).</w:t>
      </w:r>
    </w:p>
    <w:p>
      <w:pPr>
        <w:pStyle w:val="BodyText"/>
      </w:pPr>
      <w:r>
        <w:t xml:space="preserve">United States. United States Code. Title 28, § 636(b)(1)(A)–(C), (c)(1) (magistrate referrals and consent jurisdiction). https://www.law.cornell.edu/uscode/text/28/636.</w:t>
      </w:r>
    </w:p>
    <w:p>
      <w:pPr>
        <w:pStyle w:val="BodyText"/>
      </w:pPr>
      <w:r>
        <w:t xml:space="preserve">United States. United States Code. Title 18, § 3509 (child-victim and witness protection).</w:t>
      </w:r>
    </w:p>
    <w:p>
      <w:pPr>
        <w:pStyle w:val="BodyText"/>
      </w:pPr>
      <w:r>
        <w:t xml:space="preserve">United States. United States Code. Title 18, §§ 2252–2252A (material involving the sexual exploitation of minors).</w:t>
      </w:r>
    </w:p>
    <w:p>
      <w:pPr>
        <w:pStyle w:val="BodyText"/>
      </w:pPr>
      <w:r>
        <w:t xml:space="preserve">United States. United States Code. Title 31, §§ 716, 1304 (Comptroller General access; judgments).</w:t>
      </w:r>
    </w:p>
    <w:p>
      <w:pPr>
        <w:pStyle w:val="BodyText"/>
      </w:pPr>
      <w:r>
        <w:t xml:space="preserve">United States. United States Code. Title 42, § 1983 (civil action for deprivation of rights).</w:t>
      </w:r>
    </w:p>
    <w:p>
      <w:pPr>
        <w:pStyle w:val="BodyText"/>
      </w:pPr>
      <w:r>
        <w:t xml:space="preserve">United States. United States Code. Title 42, § 1985 (conspiracy to interfere with civil rights).</w:t>
      </w:r>
    </w:p>
    <w:p>
      <w:pPr>
        <w:pStyle w:val="BodyText"/>
      </w:pPr>
      <w:r>
        <w:t xml:space="preserve">United States. United States Code. Title 2, §§ 192, 194 (contempt of Congress and referral).</w:t>
      </w:r>
    </w:p>
    <w:p>
      <w:pPr>
        <w:pStyle w:val="BodyText"/>
      </w:pPr>
      <w:r>
        <w:t xml:space="preserve">United States. United States Code. Title 2, §§ 288b, 288d (Senate Legal Counsel; enforcement of Senate subpoenas).</w:t>
      </w:r>
    </w:p>
    <w:p>
      <w:pPr>
        <w:pStyle w:val="BodyText"/>
      </w:pPr>
      <w:r>
        <w:t xml:space="preserve">United States. United States Code. Title 5, § 301 (departmental regulations and public withholding).</w:t>
      </w:r>
    </w:p>
    <w:p>
      <w:pPr>
        <w:pStyle w:val="BodyText"/>
      </w:pPr>
      <w:r>
        <w:t xml:space="preserve">United States. United States Code. Title 18, § 1001 (false statements).</w:t>
      </w:r>
    </w:p>
    <w:p>
      <w:pPr>
        <w:pStyle w:val="BodyText"/>
      </w:pPr>
      <w:r>
        <w:t xml:space="preserve">United States. United States Code. Title 28, §§ 516, 547(1) (federal litigation and prosecution).</w:t>
      </w:r>
    </w:p>
    <w:p>
      <w:pPr>
        <w:pStyle w:val="BodyText"/>
      </w:pPr>
      <w:r>
        <w:t xml:space="preserve">United States. United States Code. Title 5, §§ 403, 413, 416 (inspectors general).</w:t>
      </w:r>
    </w:p>
    <w:p>
      <w:pPr>
        <w:pStyle w:val="BodyText"/>
      </w:pPr>
      <w:r>
        <w:t xml:space="preserve">United States. United States Code. Title 50, §§ 3033(k)(5), 3517(d)(5) (urgent-concern handling).</w:t>
      </w:r>
    </w:p>
    <w:p>
      <w:pPr>
        <w:pStyle w:val="BodyText"/>
      </w:pPr>
      <w:r>
        <w:t xml:space="preserve">United States. United States Code. Title 50, §§ 3234, 3236, 3341(j) (intelligence-community reprisal protections and external review panel).</w:t>
      </w:r>
    </w:p>
    <w:p>
      <w:pPr>
        <w:pStyle w:val="BodyText"/>
      </w:pPr>
      <w:r>
        <w:t xml:space="preserve">United States. United States Code. Title 5, § 702 (judicial review and relief other than money damages). https://www.law.cornell.edu/uscode/text/5/702.</w:t>
      </w:r>
    </w:p>
    <w:p>
      <w:pPr>
        <w:pStyle w:val="BodyText"/>
      </w:pPr>
      <w:r>
        <w:t xml:space="preserve">United States. United States Code. Title 18, § 1621 (perjury).</w:t>
      </w:r>
    </w:p>
    <w:p>
      <w:pPr>
        <w:pStyle w:val="BodyText"/>
      </w:pPr>
      <w:r>
        <w:t xml:space="preserve">United States. USA FREEDOM Act of 2015. Public Law 114-23. June 2, 2015.</w:t>
      </w:r>
    </w:p>
    <w:p>
      <w:pPr>
        <w:pStyle w:val="BodyText"/>
      </w:pPr>
      <w:r>
        <w:t xml:space="preserve">United States. USA PATRIOT Act. Public Law 107-56, § 215. October 26, 2001.</w:t>
      </w:r>
    </w:p>
    <w:p>
      <w:pPr>
        <w:pStyle w:val="BodyText"/>
      </w:pPr>
      <w:r>
        <w:rPr>
          <w:iCs/>
          <w:i/>
        </w:rPr>
        <w:t xml:space="preserve">United States v. Curtiss-Wright Export Corp.</w:t>
      </w:r>
      <w:r>
        <w:t xml:space="preserve"> </w:t>
      </w:r>
      <w:r>
        <w:t xml:space="preserve">299 U.S. 304 (1936).</w:t>
      </w:r>
    </w:p>
    <w:p>
      <w:pPr>
        <w:pStyle w:val="BodyText"/>
      </w:pPr>
      <w:r>
        <w:rPr>
          <w:iCs/>
          <w:i/>
        </w:rPr>
        <w:t xml:space="preserve">United States v. Epstein</w:t>
      </w:r>
      <w:r>
        <w:t xml:space="preserve">. No. 19-cr-490. Government motion to unseal grand-jury transcripts, docket 61, July 18, 2025. U.S. District Court for the Southern District of New York.</w:t>
      </w:r>
    </w:p>
    <w:p>
      <w:pPr>
        <w:pStyle w:val="BodyText"/>
      </w:pPr>
      <w:r>
        <w:rPr>
          <w:iCs/>
          <w:i/>
        </w:rPr>
        <w:t xml:space="preserve">United States v. Felt</w:t>
      </w:r>
      <w:r>
        <w:t xml:space="preserve">. 502 F. Supp. 71 (D.D.C. 1980).</w:t>
      </w:r>
    </w:p>
    <w:p>
      <w:pPr>
        <w:pStyle w:val="BodyText"/>
      </w:pPr>
      <w:r>
        <w:rPr>
          <w:iCs/>
          <w:i/>
        </w:rPr>
        <w:t xml:space="preserve">United States v. Maxwell</w:t>
      </w:r>
      <w:r>
        <w:t xml:space="preserve">. No. 20-cr-330. Government motion to unseal grand-jury transcripts, docket 785, July 18, 2025. U.S. District Court for the Southern District of New York.</w:t>
      </w:r>
    </w:p>
    <w:p>
      <w:pPr>
        <w:pStyle w:val="BodyText"/>
      </w:pPr>
      <w:r>
        <w:rPr>
          <w:iCs/>
          <w:i/>
        </w:rPr>
        <w:t xml:space="preserve">United States v. Maxwell</w:t>
      </w:r>
      <w:r>
        <w:t xml:space="preserve">. No. 20-cr-330. Government supplemental brief concerning grand-jury unsealing, docket 796, July 29, 2025. U.S. District Court for the Southern District of New York.</w:t>
      </w:r>
    </w:p>
    <w:p>
      <w:pPr>
        <w:pStyle w:val="BodyText"/>
      </w:pPr>
      <w:r>
        <w:rPr>
          <w:iCs/>
          <w:i/>
        </w:rPr>
        <w:t xml:space="preserve">United States v. Maxwell</w:t>
      </w:r>
      <w:r>
        <w:t xml:space="preserve">. No. 20-cr-330. Opinion and order, December 9, 2025 (ECF 820), cited in</w:t>
      </w:r>
      <w:r>
        <w:t xml:space="preserve"> </w:t>
      </w:r>
      <w:r>
        <w:rPr>
          <w:iCs/>
          <w:i/>
        </w:rPr>
        <w:t xml:space="preserve">Phang v. Blanche</w:t>
      </w:r>
      <w:r>
        <w:t xml:space="preserve"> </w:t>
      </w:r>
      <w:r>
        <w:t xml:space="preserve">as 811 F. Supp. 3d 667. U.S. District Court for the Southern District of New York. https://www.nysd.uscourts.gov/sites/default/files/2025-12/PAE%20Maxwell%20Opinion%202025.12.09%20%28As%20Docketed%29.pdf.</w:t>
      </w:r>
    </w:p>
    <w:p>
      <w:pPr>
        <w:pStyle w:val="BodyText"/>
      </w:pPr>
      <w:r>
        <w:rPr>
          <w:iCs/>
          <w:i/>
        </w:rPr>
        <w:t xml:space="preserve">United States v. Maxwell</w:t>
      </w:r>
      <w:r>
        <w:t xml:space="preserve">. 794 F. Supp. 3d 215 (S.D.N.Y. 2025). Opinion and order of August 11, 2025, denying grand-jury unsealing. Copy in DOJ’s August 22, 2025 production to the House Oversight Committee, Bates DOJ-OGR-00015133–00015163.</w:t>
      </w:r>
    </w:p>
    <w:p>
      <w:pPr>
        <w:pStyle w:val="BodyText"/>
      </w:pPr>
      <w:r>
        <w:rPr>
          <w:iCs/>
          <w:i/>
        </w:rPr>
        <w:t xml:space="preserve">United States v. Maxwell</w:t>
      </w:r>
      <w:r>
        <w:t xml:space="preserve">. No. 20-cr-330. Opinion and order, January 21, 2026. U.S. District Court for the Southern District of New York. https://www.nysd.uscourts.gov/sites/default/files/2026-01/Maxwell%2020cr330%20-%20Opinion%20%26%20Order%201.21.26.pdf.</w:t>
      </w:r>
    </w:p>
    <w:p>
      <w:pPr>
        <w:pStyle w:val="BodyText"/>
      </w:pPr>
      <w:r>
        <w:rPr>
          <w:iCs/>
          <w:i/>
        </w:rPr>
        <w:t xml:space="preserve">United States v. Maxwell</w:t>
      </w:r>
      <w:r>
        <w:t xml:space="preserve">. No. 20-cr-330. Trial record. U.S. District Court for the Southern District of New York, 2021.</w:t>
      </w:r>
    </w:p>
    <w:p>
      <w:pPr>
        <w:pStyle w:val="BodyText"/>
      </w:pPr>
      <w:r>
        <w:rPr>
          <w:iCs/>
          <w:i/>
        </w:rPr>
        <w:t xml:space="preserve">United States v. Navarro</w:t>
      </w:r>
      <w:r>
        <w:t xml:space="preserve">. No. 24-3006 (D.C. Cir. July 21, 2026). https://media.cadc.uscourts.gov/opinions/docs/2026/07/24-3006-2184223.pdf.</w:t>
      </w:r>
    </w:p>
    <w:p>
      <w:pPr>
        <w:pStyle w:val="BodyText"/>
      </w:pPr>
      <w:r>
        <w:rPr>
          <w:iCs/>
          <w:i/>
        </w:rPr>
        <w:t xml:space="preserve">United States v. North</w:t>
      </w:r>
      <w:r>
        <w:t xml:space="preserve">. 910 F.2d 843 (D.C. Cir. 1990).</w:t>
      </w:r>
    </w:p>
    <w:p>
      <w:pPr>
        <w:pStyle w:val="BodyText"/>
      </w:pPr>
      <w:r>
        <w:rPr>
          <w:iCs/>
          <w:i/>
        </w:rPr>
        <w:t xml:space="preserve">United States v. Poindexter</w:t>
      </w:r>
      <w:r>
        <w:t xml:space="preserve">. 951 F.2d 369 (D.C. Cir. 1991).</w:t>
      </w:r>
    </w:p>
    <w:p>
      <w:pPr>
        <w:pStyle w:val="BodyText"/>
      </w:pPr>
      <w:r>
        <w:rPr>
          <w:iCs/>
          <w:i/>
        </w:rPr>
        <w:t xml:space="preserve">Upjohn Co. v. United States</w:t>
      </w:r>
      <w:r>
        <w:t xml:space="preserve">. 449 U.S. 383 (1981).</w:t>
      </w:r>
    </w:p>
    <w:p>
      <w:pPr>
        <w:pStyle w:val="BodyText"/>
      </w:pPr>
      <w:r>
        <w:rPr>
          <w:iCs/>
          <w:i/>
        </w:rPr>
        <w:t xml:space="preserve">Vaughn v. Rosen</w:t>
      </w:r>
      <w:r>
        <w:t xml:space="preserve">. 484 F.2d 820 (D.C. Cir. 1973).</w:t>
      </w:r>
    </w:p>
    <w:p>
      <w:pPr>
        <w:pStyle w:val="BodyText"/>
      </w:pPr>
      <w:r>
        <w:rPr>
          <w:iCs/>
          <w:i/>
        </w:rPr>
        <w:t xml:space="preserve">Walker v. Cheney</w:t>
      </w:r>
      <w:r>
        <w:t xml:space="preserve">. 230 F. Supp. 2d 51 (D.D.C. 2002).</w:t>
      </w:r>
    </w:p>
    <w:p>
      <w:pPr>
        <w:pStyle w:val="BodyText"/>
      </w:pPr>
      <w:r>
        <w:t xml:space="preserve">Walsh, Lawrence E.</w:t>
      </w:r>
      <w:r>
        <w:t xml:space="preserve"> </w:t>
      </w:r>
      <w:r>
        <w:rPr>
          <w:iCs/>
          <w:i/>
        </w:rPr>
        <w:t xml:space="preserve">Final Report of the Independent Counsel for Iran/Contra Matters</w:t>
      </w:r>
      <w:r>
        <w:t xml:space="preserve">. Vol. 1,</w:t>
      </w:r>
      <w:r>
        <w:t xml:space="preserve"> </w:t>
      </w:r>
      <w:r>
        <w:rPr>
          <w:iCs/>
          <w:i/>
        </w:rPr>
        <w:t xml:space="preserve">Investigations and Prosecutions</w:t>
      </w:r>
      <w:r>
        <w:t xml:space="preserve">. Washington, DC: U.S. Government Printing Office, 1993.</w:t>
      </w:r>
    </w:p>
    <w:p>
      <w:pPr>
        <w:pStyle w:val="BodyText"/>
      </w:pPr>
      <w:r>
        <w:t xml:space="preserve">Wyden, Ron, and Mark Udall. Letter to Attorney General Eric Holder concerning interpretations of the USA PATRIOT Act. September 21, 2011.</w:t>
      </w:r>
    </w:p>
    <w:p>
      <w:pPr>
        <w:pStyle w:val="BodyText"/>
      </w:pPr>
      <w:r>
        <w:t xml:space="preserve">Wyden, Ron, and Mark Udall. Letter to Attorney General Eric Holder concerning surveillance authorities. March 15, 2012.</w:t>
      </w:r>
    </w:p>
    <w:p>
      <w:pPr>
        <w:pStyle w:val="BodyText"/>
      </w:pPr>
      <w:r>
        <w:t xml:space="preserve">Wyden, Ron. Letter to DEA Administrator Terrance Cole concerning Operation Chain Reaction. February 25, 2026.</w:t>
      </w:r>
    </w:p>
    <w:p>
      <w:pPr>
        <w:pStyle w:val="BodyText"/>
      </w:pPr>
      <w:r>
        <w:t xml:space="preserve">Wyden, Ron. Letter to Deputy Attorney General Todd Blanche concerning Operation Chain Reaction. March 18, 2026.</w:t>
      </w:r>
    </w:p>
    <w:p>
      <w:pPr>
        <w:pStyle w:val="BodyText"/>
      </w:pPr>
      <w:r>
        <w:t xml:space="preserve">Yoo, John, and Robert Delahunty.</w:t>
      </w:r>
      <w:r>
        <w:t xml:space="preserve"> </w:t>
      </w:r>
      <w:r>
        <w:rPr>
          <w:iCs/>
          <w:i/>
        </w:rPr>
        <w:t xml:space="preserve">Authority for Use of Military Force to Combat Terrorist Activities within the United States</w:t>
      </w:r>
      <w:r>
        <w:t xml:space="preserve">. Department of Justice, Office of Legal Counsel, October 23, 2001.</w:t>
      </w:r>
    </w:p>
    <w:p>
      <w:pPr>
        <w:pStyle w:val="BodyText"/>
      </w:pPr>
      <w:r>
        <w:t xml:space="preserve">Yoo, John.</w:t>
      </w:r>
      <w:r>
        <w:t xml:space="preserve"> </w:t>
      </w:r>
      <w:r>
        <w:rPr>
          <w:iCs/>
          <w:i/>
        </w:rPr>
        <w:t xml:space="preserve">Applicability of 18 U.S.C. § 4001(a) to Military Detention of United States Citizens</w:t>
      </w:r>
      <w:r>
        <w:t xml:space="preserve">. Department of Justice, Office of Legal Counsel, June 27, 2002.</w:t>
      </w:r>
    </w:p>
    <w:p>
      <w:pPr>
        <w:pStyle w:val="BodyText"/>
      </w:pPr>
      <w:r>
        <w:t xml:space="preserve">Yoo, John.</w:t>
      </w:r>
      <w:r>
        <w:t xml:space="preserve"> </w:t>
      </w:r>
      <w:r>
        <w:rPr>
          <w:iCs/>
          <w:i/>
        </w:rPr>
        <w:t xml:space="preserve">The President’s Constitutional Authority to Conduct Military Operations Against Terrorists and Nations Supporting Them</w:t>
      </w:r>
      <w:r>
        <w:t xml:space="preserve">. Department of Justice, Office of Legal Counsel, September 25, 2001.</w:t>
      </w:r>
    </w:p>
    <w:p>
      <w:pPr>
        <w:pStyle w:val="BodyText"/>
      </w:pPr>
      <w:r>
        <w:rPr>
          <w:iCs/>
          <w:i/>
        </w:rPr>
        <w:t xml:space="preserve">Youngstown Sheet &amp; Tube Co. v. Sawyer</w:t>
      </w:r>
      <w:r>
        <w:t xml:space="preserve">. 343 U.S. 579 (1952).</w:t>
      </w:r>
    </w:p>
    <w:p>
      <w:pPr>
        <w:pStyle w:val="BodyText"/>
      </w:pPr>
      <w:r>
        <w:t xml:space="preserve">Zegart, Amy B.</w:t>
      </w:r>
      <w:r>
        <w:t xml:space="preserve"> </w:t>
      </w:r>
      <w:r>
        <w:rPr>
          <w:iCs/>
          <w:i/>
        </w:rPr>
        <w:t xml:space="preserve">Eyes on Spies: Congress and the United States Intelligence Community</w:t>
      </w:r>
      <w:r>
        <w:t xml:space="preserve">. Stanford, CA: Hoover Institution Press, 2011.</w:t>
      </w:r>
    </w:p>
    <w:p>
      <w:pPr>
        <w:pStyle w:val="BodyText"/>
      </w:pPr>
      <w:r>
        <w:t xml:space="preserve">Zegart, Amy B.</w:t>
      </w:r>
      <w:r>
        <w:t xml:space="preserve"> </w:t>
      </w:r>
      <w:r>
        <w:rPr>
          <w:iCs/>
          <w:i/>
        </w:rPr>
        <w:t xml:space="preserve">Spies, Lies, and Algorithms: The History and Future of American Intelligence</w:t>
      </w:r>
      <w:r>
        <w:t xml:space="preserve">. Princeton, NJ: Princeton University Press, 2022.</w:t>
      </w:r>
    </w:p>
    <w:p>
      <w:pPr>
        <w:pStyle w:val="BodyText"/>
      </w:pPr>
      <w:r>
        <w:t xml:space="preserve">Zegart, Amy B.</w:t>
      </w:r>
      <w:r>
        <w:t xml:space="preserve"> </w:t>
      </w:r>
      <w:r>
        <w:t xml:space="preserve">“</w:t>
      </w:r>
      <w:r>
        <w:t xml:space="preserve">The Domestic Politics of Irrational Intelligence Oversight.</w:t>
      </w:r>
      <w:r>
        <w:t xml:space="preserve">”</w:t>
      </w:r>
      <w:r>
        <w:t xml:space="preserve"> </w:t>
      </w:r>
      <w:r>
        <w:rPr>
          <w:iCs/>
          <w:i/>
        </w:rPr>
        <w:t xml:space="preserve">Political Science Quarterly</w:t>
      </w:r>
      <w:r>
        <w:t xml:space="preserve"> </w:t>
      </w:r>
      <w:r>
        <w:t xml:space="preserve">126, no. 1 (2011): 1–25.</w:t>
      </w:r>
    </w:p>
    <w:p>
      <w:pPr>
        <w:pStyle w:val="BodyText"/>
      </w:pPr>
      <w:r>
        <w:rPr>
          <w:iCs/>
          <w:i/>
        </w:rPr>
        <w:t xml:space="preserve">Zivotofsky v. Kerry</w:t>
      </w:r>
      <w:r>
        <w:t xml:space="preserve">. 576 U.S. 1 (2015).</w:t>
      </w:r>
    </w:p>
    <w:p>
      <w:r>
        <w:pict>
          <v:rect style="width:0;height:1.5pt" o:hralign="center" o:hrstd="t" o:hr="t"/>
        </w:pict>
      </w:r>
    </w:p>
    <w:bookmarkEnd w:id="211"/>
    <w:sectPr>
      <w:footerReference w:type="default" r:id="rIdFtr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http://schemas.openxmlformats.org/wordprocessingml/2006/main" xmlns:r="http://schemas.openxmlformats.org/officeDocument/2006/relationships">
  <w:p>
    <w:pPr>
      <w:jc w:val="center"/>
    </w:pPr>
    <w:fldSimple w:instr=" PAGE ">
      <w:r>
        <w:t>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0">
    <w:p>
      <w:pPr>
        <w:pStyle w:val="FootnoteText"/>
      </w:pPr>
      <w:r>
        <w:rPr>
          <w:rStyle w:val="FootnoteReference"/>
        </w:rPr>
        <w:footnoteRef/>
      </w:r>
      <w:r>
        <w:t xml:space="preserve"> </w:t>
      </w:r>
      <w:r>
        <w:t xml:space="preserve">Alan ElSheshai,</w:t>
      </w:r>
      <w:r>
        <w:t xml:space="preserve"> </w:t>
      </w:r>
      <w:r>
        <w:rPr>
          <w:iCs/>
          <w:i/>
        </w:rPr>
        <w:t xml:space="preserve">EFTA Document-Count Reconciliation</w:t>
      </w:r>
      <w:r>
        <w:t xml:space="preserve">, June 28, 2026, content version 2796439c2001,</w:t>
      </w:r>
      <w:r>
        <w:t xml:space="preserve"> </w:t>
      </w:r>
      <w:r>
        <w:t xml:space="preserve">“</w:t>
      </w:r>
      <w:r>
        <w:t xml:space="preserve">Counts,</w:t>
      </w:r>
      <w:r>
        <w:t xml:space="preserve">”</w:t>
      </w:r>
      <w:r>
        <w:t xml:space="preserve"> </w:t>
      </w:r>
      <w:r>
        <w:t xml:space="preserve">“</w:t>
      </w:r>
      <w:r>
        <w:t xml:space="preserve">Pairwise deltas,</w:t>
      </w:r>
      <w:r>
        <w:t xml:space="preserve">”</w:t>
      </w:r>
      <w:r>
        <w:t xml:space="preserve"> </w:t>
      </w:r>
      <w:r>
        <w:t xml:space="preserve">and</w:t>
      </w:r>
      <w:r>
        <w:t xml:space="preserve"> </w:t>
      </w:r>
      <w:r>
        <w:t xml:space="preserve">“</w:t>
      </w:r>
      <w:r>
        <w:t xml:space="preserve">Verdict</w:t>
      </w:r>
      <w:r>
        <w:t xml:space="preserve">”</w:t>
      </w:r>
      <w:r>
        <w:t xml:space="preserve">, unpublished supplement held with the paper’s review record, available on request. Analysis of the twelve DOJ EFTA dataset manifests, the full-corpus classification table, and the public epstein-data.com concordance: deduplicating manifest PDF rows by Bates range and file hash and comparing the concordance-only identifiers produced 1,378,393 unique released documents. The count is read with this paper’s August 30, 2026 measurement cutoff. Dated instruction and interval: DOJ/FBI, Epstein Project Processing Guidance, EFTA00172446, March 21, 2025, instruction</w:t>
      </w:r>
      <w:r>
        <w:t xml:space="preserve"> </w:t>
      </w:r>
      <w:r>
        <w:t xml:space="preserve">“</w:t>
      </w:r>
      <w:r>
        <w:t xml:space="preserve">Do not add any exemptions; just redaction boxes</w:t>
      </w:r>
      <w:r>
        <w:t xml:space="preserve">”</w:t>
      </w:r>
      <w:r>
        <w:t xml:space="preserve">; the eight-month interval runs to EFTA’s November 19, 2025 enactment.</w:t>
      </w:r>
    </w:p>
  </w:footnote>
  <w:footnote w:id="23">
    <w:p>
      <w:pPr>
        <w:pStyle w:val="FootnoteText"/>
      </w:pPr>
      <w:r>
        <w:rPr>
          <w:rStyle w:val="FootnoteReference"/>
        </w:rPr>
        <w:footnoteRef/>
      </w:r>
      <w:r>
        <w:t xml:space="preserve"> </w:t>
      </w:r>
      <w:r>
        <w:t xml:space="preserve">Hughes-Ryan Amendment, Foreign Assistance Act of 1974, Pub. L. No. 93-559, § 32, 88 Stat. 1795, 1804 (adding § 662 to the Foreign Assistance Act of 1961), codified at 22 U.S.C. § 2422 (repealed 1991, reenacted at 50 U.S.C. §§ 3091–3093). Foreign Intelligence Surveillance Act of 1978 (FISA), Pub. L. No. 95-511. Intelligence Oversight Act of 1980, Pub. L. No. 96-450. Inspector General Act of 1978, Pub. L. No. 95-452. S. Res. 400, 94th Cong. (1976) (establishing the Senate Select Committee on Intelligence (SSCI)); H. Res. 658, 95th Cong. (1977) (establishing the House Permanent Select Committee on Intelligence (HPSCI)). Privacy and Civil Liberties Oversight Board (PCLOB), 42 U.S.C. § 2000ee (Pub. L. No. 108-458, § 1061 (2004), as amended by Pub. L. No. 110-53, § 801(a) (2007)). USA FREEDOM Act of 2015, Pub. L. No. 114-23. National Defense Authorization Act for Fiscal Year 2016, Pub. L. No. 114-92, § 1045 (codifying the McCain-Feinstein anti-torture provisions).</w:t>
      </w:r>
    </w:p>
  </w:footnote>
  <w:footnote w:id="24">
    <w:p>
      <w:pPr>
        <w:pStyle w:val="FootnoteText"/>
      </w:pPr>
      <w:r>
        <w:rPr>
          <w:rStyle w:val="FootnoteReference"/>
        </w:rPr>
        <w:footnoteRef/>
      </w:r>
      <w:r>
        <w:t xml:space="preserve"> </w:t>
      </w:r>
      <w:r>
        <w:t xml:space="preserve">Amy B. Zegart,</w:t>
      </w:r>
      <w:r>
        <w:t xml:space="preserve"> </w:t>
      </w:r>
      <w:r>
        <w:t xml:space="preserve">“</w:t>
      </w:r>
      <w:r>
        <w:t xml:space="preserve">The Domestic Politics of Irrational Intelligence Oversight,</w:t>
      </w:r>
      <w:r>
        <w:t xml:space="preserve">”</w:t>
      </w:r>
      <w:r>
        <w:t xml:space="preserve"> </w:t>
      </w:r>
      <w:r>
        <w:rPr>
          <w:iCs/>
          <w:i/>
        </w:rPr>
        <w:t xml:space="preserve">Political Science Quarterly</w:t>
      </w:r>
      <w:r>
        <w:t xml:space="preserve"> </w:t>
      </w:r>
      <w:r>
        <w:t xml:space="preserve">126, no. 1 (2011): 1–25; Zegart,</w:t>
      </w:r>
      <w:r>
        <w:t xml:space="preserve"> </w:t>
      </w:r>
      <w:r>
        <w:rPr>
          <w:iCs/>
          <w:i/>
        </w:rPr>
        <w:t xml:space="preserve">Spies, Lies, and Algorithms: The History and Future of American Intelligence</w:t>
      </w:r>
      <w:r>
        <w:t xml:space="preserve"> </w:t>
      </w:r>
      <w:r>
        <w:t xml:space="preserve">(Princeton: Princeton University Press, 2022), ch. 8, pp. 198 (oversight driven by</w:t>
      </w:r>
      <w:r>
        <w:t xml:space="preserve"> </w:t>
      </w:r>
      <w:r>
        <w:t xml:space="preserve">“</w:t>
      </w:r>
      <w:r>
        <w:t xml:space="preserve">information, incentives, and institutions,</w:t>
      </w:r>
      <w:r>
        <w:t xml:space="preserve">”</w:t>
      </w:r>
      <w:r>
        <w:t xml:space="preserve"> </w:t>
      </w:r>
      <w:r>
        <w:t xml:space="preserve">for reasons that have nothing to do with</w:t>
      </w:r>
      <w:r>
        <w:t xml:space="preserve"> </w:t>
      </w:r>
      <w:r>
        <w:t xml:space="preserve">“</w:t>
      </w:r>
      <w:r>
        <w:t xml:space="preserve">which party was in power</w:t>
      </w:r>
      <w:r>
        <w:t xml:space="preserve">”</w:t>
      </w:r>
      <w:r>
        <w:t xml:space="preserve">), 212–15 (electoral incentives,</w:t>
      </w:r>
      <w:r>
        <w:t xml:space="preserve"> </w:t>
      </w:r>
      <w:r>
        <w:t xml:space="preserve">“</w:t>
      </w:r>
      <w:r>
        <w:t xml:space="preserve">regardless of party or era</w:t>
      </w:r>
      <w:r>
        <w:t xml:space="preserve">”</w:t>
      </w:r>
      <w:r>
        <w:t xml:space="preserve">), and 216 (expertise). Zegart’s</w:t>
      </w:r>
      <w:r>
        <w:t xml:space="preserve"> </w:t>
      </w:r>
      <w:r>
        <w:rPr>
          <w:iCs/>
          <w:i/>
        </w:rPr>
        <w:t xml:space="preserve">Eyes on Spies: Congress and the United States Intelligence Community</w:t>
      </w:r>
      <w:r>
        <w:t xml:space="preserve"> </w:t>
      </w:r>
      <w:r>
        <w:t xml:space="preserve">(Stanford: Hoover Institution Press, 2011) is held only as a summary reconstructed from secondary sources and is not relied on.</w:t>
      </w:r>
    </w:p>
  </w:footnote>
  <w:footnote w:id="25">
    <w:p>
      <w:pPr>
        <w:pStyle w:val="FootnoteText"/>
      </w:pPr>
      <w:r>
        <w:rPr>
          <w:rStyle w:val="FootnoteReference"/>
        </w:rPr>
        <w:footnoteRef/>
      </w:r>
      <w:r>
        <w:t xml:space="preserve"> </w:t>
      </w:r>
      <w:r>
        <w:t xml:space="preserve">Senate Select Committee on Intelligence (SSCI),</w:t>
      </w:r>
      <w:r>
        <w:t xml:space="preserve"> </w:t>
      </w:r>
      <w:r>
        <w:rPr>
          <w:iCs/>
          <w:i/>
        </w:rPr>
        <w:t xml:space="preserve">Committee Study of the Central Intelligence Agency’s Detention and Interrogation Program</w:t>
      </w:r>
      <w:r>
        <w:t xml:space="preserve">, S. Rep. No. 113-288 (2014), Foreword, p. 1 (the April 3, 2014 vote to send the Findings and Conclusions and the Executive Summary to the President for declassification; the full study</w:t>
      </w:r>
      <w:r>
        <w:t xml:space="preserve"> </w:t>
      </w:r>
      <w:r>
        <w:t xml:space="preserve">“</w:t>
      </w:r>
      <w:r>
        <w:t xml:space="preserve">totals more than 6,700 pages, remains classified</w:t>
      </w:r>
      <w:r>
        <w:t xml:space="preserve">”</w:t>
      </w:r>
      <w:r>
        <w:t xml:space="preserve">). Sen. Dianne Feinstein,</w:t>
      </w:r>
      <w:r>
        <w:t xml:space="preserve"> </w:t>
      </w:r>
      <w:r>
        <w:t xml:space="preserve">“</w:t>
      </w:r>
      <w:r>
        <w:t xml:space="preserve">CIA Detention and Interrogation Report,</w:t>
      </w:r>
      <w:r>
        <w:t xml:space="preserve">”</w:t>
      </w:r>
      <w:r>
        <w:t xml:space="preserve"> </w:t>
      </w:r>
      <w:r>
        <w:t xml:space="preserve">160</w:t>
      </w:r>
      <w:r>
        <w:t xml:space="preserve"> </w:t>
      </w:r>
      <w:r>
        <w:rPr>
          <w:iCs/>
          <w:i/>
        </w:rPr>
        <w:t xml:space="preserve">Cong. Rec.</w:t>
      </w:r>
      <w:r>
        <w:t xml:space="preserve"> </w:t>
      </w:r>
      <w:r>
        <w:t xml:space="preserve">S1487–S1491 (daily ed. March 11, 2014) (the CIA’s search of the committee’s computer network, and the acting general counsel’s</w:t>
      </w:r>
      <w:r>
        <w:t xml:space="preserve"> </w:t>
      </w:r>
      <w:r>
        <w:t xml:space="preserve">“</w:t>
      </w:r>
      <w:r>
        <w:t xml:space="preserve">crimes report with the Department of Justice concerning the committee staff’s actions</w:t>
      </w:r>
      <w:r>
        <w:t xml:space="preserve">”</w:t>
      </w:r>
      <w:r>
        <w:t xml:space="preserve">).</w:t>
      </w:r>
    </w:p>
  </w:footnote>
  <w:footnote w:id="26">
    <w:p>
      <w:pPr>
        <w:pStyle w:val="FootnoteText"/>
      </w:pPr>
      <w:r>
        <w:rPr>
          <w:rStyle w:val="FootnoteReference"/>
        </w:rPr>
        <w:footnoteRef/>
      </w:r>
      <w:r>
        <w:t xml:space="preserve"> </w:t>
      </w:r>
      <w:r>
        <w:t xml:space="preserve">Epstein Files Transparency Act, Pub. L. No. 119-38, 139 Stat. 656 (2025).</w:t>
      </w:r>
    </w:p>
  </w:footnote>
  <w:footnote w:id="27">
    <w:p>
      <w:pPr>
        <w:pStyle w:val="FootnoteText"/>
      </w:pPr>
      <w:r>
        <w:rPr>
          <w:rStyle w:val="FootnoteReference"/>
        </w:rPr>
        <w:footnoteRef/>
      </w:r>
      <w:r>
        <w:t xml:space="preserve"> </w:t>
      </w:r>
      <w:r>
        <w:t xml:space="preserve">Two works on secrecy that bear on this scope choice are not engaged in this edition: Rahul Sagar,</w:t>
      </w:r>
      <w:r>
        <w:t xml:space="preserve"> </w:t>
      </w:r>
      <w:r>
        <w:rPr>
          <w:iCs/>
          <w:i/>
        </w:rPr>
        <w:t xml:space="preserve">Secrets and Leaks: The Dilemma of State Secrecy</w:t>
      </w:r>
      <w:r>
        <w:t xml:space="preserve"> </w:t>
      </w:r>
      <w:r>
        <w:t xml:space="preserve">(Princeton: Princeton University Press, 2013), and Michael P. Colaresi,</w:t>
      </w:r>
      <w:r>
        <w:t xml:space="preserve"> </w:t>
      </w:r>
      <w:r>
        <w:rPr>
          <w:iCs/>
          <w:i/>
        </w:rPr>
        <w:t xml:space="preserve">Democracy Declassified: The Secrecy Dilemma in National Security</w:t>
      </w:r>
      <w:r>
        <w:t xml:space="preserve"> </w:t>
      </w:r>
      <w:r>
        <w:t xml:space="preserve">(New York: Oxford University Press, 2014). The project does not hold them, and nothing is attributed to a work that has not been read; both are to be read before submission, Colaresi’s comparative argument in particular because it bears on the limit stated in the text.</w:t>
      </w:r>
    </w:p>
  </w:footnote>
  <w:footnote w:id="28">
    <w:p>
      <w:pPr>
        <w:pStyle w:val="FootnoteText"/>
      </w:pPr>
      <w:r>
        <w:rPr>
          <w:rStyle w:val="FootnoteReference"/>
        </w:rPr>
        <w:footnoteRef/>
      </w:r>
      <w:r>
        <w:t xml:space="preserve"> </w:t>
      </w:r>
      <w:r>
        <w:t xml:space="preserve">Table 4 specifies eight process indicators: demand posture, selective disclosure, justification proliferation, delayed compliance, executive self-definition, majority declines an available remedy, remedy attempted and defeated outside Congress, and informal negotiation. Exogenous rupture and limited individual accountability are brackets, recorded but not counted among the process indicators, so Tables 4 and 7 each have ten rows.</w:t>
      </w:r>
    </w:p>
  </w:footnote>
  <w:footnote w:id="30">
    <w:p>
      <w:pPr>
        <w:pStyle w:val="FootnoteText"/>
      </w:pPr>
      <w:r>
        <w:rPr>
          <w:rStyle w:val="FootnoteReference"/>
        </w:rPr>
        <w:footnoteRef/>
      </w:r>
      <w:r>
        <w:t xml:space="preserve"> </w:t>
      </w:r>
      <w:r>
        <w:t xml:space="preserve">For the classical-republican inheritance, see Polybius,</w:t>
      </w:r>
      <w:r>
        <w:t xml:space="preserve"> </w:t>
      </w:r>
      <w:r>
        <w:rPr>
          <w:iCs/>
          <w:i/>
        </w:rPr>
        <w:t xml:space="preserve">Histories</w:t>
      </w:r>
      <w:r>
        <w:t xml:space="preserve"> </w:t>
      </w:r>
      <w:r>
        <w:t xml:space="preserve">Book VI; John Adams,</w:t>
      </w:r>
      <w:r>
        <w:t xml:space="preserve"> </w:t>
      </w:r>
      <w:r>
        <w:rPr>
          <w:iCs/>
          <w:i/>
        </w:rPr>
        <w:t xml:space="preserve">A Defence of the Constitutions of Government of the United States of America</w:t>
      </w:r>
      <w:r>
        <w:t xml:space="preserve"> </w:t>
      </w:r>
      <w:r>
        <w:t xml:space="preserve">(1787–88). For the Federalist articulation, James Madison,</w:t>
      </w:r>
      <w:r>
        <w:t xml:space="preserve"> </w:t>
      </w:r>
      <w:r>
        <w:rPr>
          <w:iCs/>
          <w:i/>
        </w:rPr>
        <w:t xml:space="preserve">Federalist No. 51</w:t>
      </w:r>
      <w:r>
        <w:t xml:space="preserve">; John Jay,</w:t>
      </w:r>
      <w:r>
        <w:t xml:space="preserve"> </w:t>
      </w:r>
      <w:r>
        <w:rPr>
          <w:iCs/>
          <w:i/>
        </w:rPr>
        <w:t xml:space="preserve">Federalist No. 64</w:t>
      </w:r>
      <w:r>
        <w:t xml:space="preserve">; and Alexander Hamilton,</w:t>
      </w:r>
      <w:r>
        <w:t xml:space="preserve"> </w:t>
      </w:r>
      <w:r>
        <w:rPr>
          <w:iCs/>
          <w:i/>
        </w:rPr>
        <w:t xml:space="preserve">Federalist No. 70</w:t>
      </w:r>
      <w:r>
        <w:t xml:space="preserve">, in</w:t>
      </w:r>
      <w:r>
        <w:t xml:space="preserve"> </w:t>
      </w:r>
      <w:r>
        <w:rPr>
          <w:iCs/>
          <w:i/>
        </w:rPr>
        <w:t xml:space="preserve">The Federalist Papers</w:t>
      </w:r>
      <w:r>
        <w:t xml:space="preserve"> </w:t>
      </w:r>
      <w:r>
        <w:t xml:space="preserve">(1788).</w:t>
      </w:r>
    </w:p>
  </w:footnote>
  <w:footnote w:id="31">
    <w:p>
      <w:pPr>
        <w:pStyle w:val="FootnoteText"/>
      </w:pPr>
      <w:r>
        <w:rPr>
          <w:rStyle w:val="FootnoteReference"/>
        </w:rPr>
        <w:footnoteRef/>
      </w:r>
      <w:r>
        <w:t xml:space="preserve"> </w:t>
      </w:r>
      <w:r>
        <w:t xml:space="preserve">Frank Church, Letter of Transmittal, in Senate Select Committee to Study Governmental Operations with Respect to Intelligence Activities,</w:t>
      </w:r>
      <w:r>
        <w:t xml:space="preserve"> </w:t>
      </w:r>
      <w:r>
        <w:rPr>
          <w:iCs/>
          <w:i/>
        </w:rPr>
        <w:t xml:space="preserve">Final Report</w:t>
      </w:r>
      <w:r>
        <w:t xml:space="preserve">, Book II:</w:t>
      </w:r>
      <w:r>
        <w:t xml:space="preserve"> </w:t>
      </w:r>
      <w:r>
        <w:rPr>
          <w:iCs/>
          <w:i/>
        </w:rPr>
        <w:t xml:space="preserve">Intelligence Activities and the Rights of Americans</w:t>
      </w:r>
      <w:r>
        <w:t xml:space="preserve">, S. Rep. No. 94-755 (April 26, 1976), p. iii. The sentence omitted at the ellipsis reads:</w:t>
      </w:r>
      <w:r>
        <w:t xml:space="preserve"> </w:t>
      </w:r>
      <w:r>
        <w:t xml:space="preserve">“</w:t>
      </w:r>
      <w:r>
        <w:t xml:space="preserve">Our experience as a nation has taught us that we must place our trust in laws, and not solely in men.</w:t>
      </w:r>
      <w:r>
        <w:t xml:space="preserve">”</w:t>
      </w:r>
    </w:p>
  </w:footnote>
  <w:footnote w:id="32">
    <w:p>
      <w:pPr>
        <w:pStyle w:val="FootnoteText"/>
      </w:pPr>
      <w:r>
        <w:rPr>
          <w:rStyle w:val="FootnoteReference"/>
        </w:rPr>
        <w:footnoteRef/>
      </w:r>
      <w:r>
        <w:t xml:space="preserve"> </w:t>
      </w:r>
      <w:r>
        <w:t xml:space="preserve">The institutional history relied on here is L. Britt Snider,</w:t>
      </w:r>
      <w:r>
        <w:t xml:space="preserve"> </w:t>
      </w:r>
      <w:r>
        <w:rPr>
          <w:iCs/>
          <w:i/>
        </w:rPr>
        <w:t xml:space="preserve">The Agency and the Hill: CIA’s Relationship with Congress, 1946–2004</w:t>
      </w:r>
      <w:r>
        <w:t xml:space="preserve"> </w:t>
      </w:r>
      <w:r>
        <w:t xml:space="preserve">(Washington: Center for the Study of Intelligence, 2008). General references, not held in full text for this edition: Frank J. Smist, Jr.,</w:t>
      </w:r>
      <w:r>
        <w:t xml:space="preserve"> </w:t>
      </w:r>
      <w:r>
        <w:rPr>
          <w:iCs/>
          <w:i/>
        </w:rPr>
        <w:t xml:space="preserve">Congress Oversees the United States Intelligence Community, 1947–1994</w:t>
      </w:r>
      <w:r>
        <w:t xml:space="preserve">, 2nd ed. (Knoxville: University of Tennessee Press, 1994); David M. Barrett,</w:t>
      </w:r>
      <w:r>
        <w:t xml:space="preserve"> </w:t>
      </w:r>
      <w:r>
        <w:rPr>
          <w:iCs/>
          <w:i/>
        </w:rPr>
        <w:t xml:space="preserve">The CIA and Congress: The Untold Story from Truman to Kennedy</w:t>
      </w:r>
      <w:r>
        <w:t xml:space="preserve"> </w:t>
      </w:r>
      <w:r>
        <w:t xml:space="preserve">(Lawrence: University Press of Kansas, 2005).</w:t>
      </w:r>
    </w:p>
  </w:footnote>
  <w:footnote w:id="33">
    <w:p>
      <w:pPr>
        <w:pStyle w:val="FootnoteText"/>
      </w:pPr>
      <w:r>
        <w:rPr>
          <w:rStyle w:val="FootnoteReference"/>
        </w:rPr>
        <w:footnoteRef/>
      </w:r>
      <w:r>
        <w:t xml:space="preserve"> </w:t>
      </w:r>
      <w:r>
        <w:t xml:space="preserve">Loch K. Johnson,</w:t>
      </w:r>
      <w:r>
        <w:t xml:space="preserve"> </w:t>
      </w:r>
      <w:r>
        <w:t xml:space="preserve">“</w:t>
      </w:r>
      <w:r>
        <w:t xml:space="preserve">Accountability and America’s Secret Foreign Policy: Keeping a Legislative Eye on the Central Intelligence Agency,</w:t>
      </w:r>
      <w:r>
        <w:t xml:space="preserve">”</w:t>
      </w:r>
      <w:r>
        <w:t xml:space="preserve"> </w:t>
      </w:r>
      <w:r>
        <w:rPr>
          <w:iCs/>
          <w:i/>
        </w:rPr>
        <w:t xml:space="preserve">Foreign Policy Analysis</w:t>
      </w:r>
      <w:r>
        <w:t xml:space="preserve"> </w:t>
      </w:r>
      <w:r>
        <w:t xml:space="preserve">1, no. 1 (2005): 99–120, at 111:</w:t>
      </w:r>
      <w:r>
        <w:t xml:space="preserve"> </w:t>
      </w:r>
      <w:r>
        <w:t xml:space="preserve">“</w:t>
      </w:r>
      <w:r>
        <w:t xml:space="preserve">The repeated pattern of intelligence accountability since 1975 has been one of shock, intense oversight response, remedial legislation, then back to weak patrolling.</w:t>
      </w:r>
      <w:r>
        <w:t xml:space="preserve">”</w:t>
      </w:r>
      <w:r>
        <w:t xml:space="preserve"> </w:t>
      </w:r>
      <w:r>
        <w:t xml:space="preserve">The same page treats the scandals as fire alarms:</w:t>
      </w:r>
      <w:r>
        <w:t xml:space="preserve"> </w:t>
      </w:r>
      <w:r>
        <w:t xml:space="preserve">“</w:t>
      </w:r>
      <w:r>
        <w:t xml:space="preserve">Over these 30 years, five major fire alarms have led to approximately six years of high-energy retrospective investigations by overseers qua fireman.</w:t>
      </w:r>
      <w:r>
        <w:t xml:space="preserve">”</w:t>
      </w:r>
      <w:r>
        <w:t xml:space="preserve"> </w:t>
      </w:r>
      <w:r>
        <w:t xml:space="preserve">Johnson’s books</w:t>
      </w:r>
      <w:r>
        <w:t xml:space="preserve"> </w:t>
      </w:r>
      <w:r>
        <w:rPr>
          <w:iCs/>
          <w:i/>
        </w:rPr>
        <w:t xml:space="preserve">A Season of Inquiry Revisited</w:t>
      </w:r>
      <w:r>
        <w:t xml:space="preserve"> </w:t>
      </w:r>
      <w:r>
        <w:t xml:space="preserve">(2015) and</w:t>
      </w:r>
      <w:r>
        <w:t xml:space="preserve"> </w:t>
      </w:r>
      <w:r>
        <w:rPr>
          <w:iCs/>
          <w:i/>
        </w:rPr>
        <w:t xml:space="preserve">Spy Watching</w:t>
      </w:r>
      <w:r>
        <w:t xml:space="preserve"> </w:t>
      </w:r>
      <w:r>
        <w:t xml:space="preserve">(2018) are among the six books named in the limited-source paragraph; nothing is attributed to their text.</w:t>
      </w:r>
    </w:p>
  </w:footnote>
  <w:footnote w:id="34">
    <w:p>
      <w:pPr>
        <w:pStyle w:val="FootnoteText"/>
      </w:pPr>
      <w:r>
        <w:rPr>
          <w:rStyle w:val="FootnoteReference"/>
        </w:rPr>
        <w:footnoteRef/>
      </w:r>
      <w:r>
        <w:t xml:space="preserve"> </w:t>
      </w:r>
      <w:r>
        <w:t xml:space="preserve">Kathryn Olmsted,</w:t>
      </w:r>
      <w:r>
        <w:t xml:space="preserve"> </w:t>
      </w:r>
      <w:r>
        <w:t xml:space="preserve">“</w:t>
      </w:r>
      <w:r>
        <w:t xml:space="preserve">Reclaiming Executive Power: The Ford Administration’s Response to the Intelligence Investigations,</w:t>
      </w:r>
      <w:r>
        <w:t xml:space="preserve">”</w:t>
      </w:r>
      <w:r>
        <w:t xml:space="preserve"> </w:t>
      </w:r>
      <w:r>
        <w:rPr>
          <w:iCs/>
          <w:i/>
        </w:rPr>
        <w:t xml:space="preserve">Presidential Studies Quarterly</w:t>
      </w:r>
      <w:r>
        <w:t xml:space="preserve"> </w:t>
      </w:r>
      <w:r>
        <w:t xml:space="preserve">26, no. 3 (1996): 725–737 (the executive’s response to the 1975–76 Church and Pike investigations); James T. Currie,</w:t>
      </w:r>
      <w:r>
        <w:t xml:space="preserve"> </w:t>
      </w:r>
      <w:r>
        <w:t xml:space="preserve">“</w:t>
      </w:r>
      <w:r>
        <w:t xml:space="preserve">Iran-Contra and Congressional Oversight of the CIA,</w:t>
      </w:r>
      <w:r>
        <w:t xml:space="preserve">”</w:t>
      </w:r>
      <w:r>
        <w:t xml:space="preserve"> </w:t>
      </w:r>
      <w:r>
        <w:rPr>
          <w:iCs/>
          <w:i/>
        </w:rPr>
        <w:t xml:space="preserve">International Journal of Intelligence and CounterIntelligence</w:t>
      </w:r>
      <w:r>
        <w:t xml:space="preserve"> </w:t>
      </w:r>
      <w:r>
        <w:t xml:space="preserve">11, no. 2 (1998): 185–210. Olmsted’s book</w:t>
      </w:r>
      <w:r>
        <w:t xml:space="preserve"> </w:t>
      </w:r>
      <w:r>
        <w:rPr>
          <w:iCs/>
          <w:i/>
        </w:rPr>
        <w:t xml:space="preserve">Challenging the Secret Government: The Post-Watergate Investigations of the CIA and FBI</w:t>
      </w:r>
      <w:r>
        <w:t xml:space="preserve"> </w:t>
      </w:r>
      <w:r>
        <w:t xml:space="preserve">(Chapel Hill: University of North Carolina Press, 1996) covers the same investigations and is further reading.</w:t>
      </w:r>
    </w:p>
  </w:footnote>
  <w:footnote w:id="35">
    <w:p>
      <w:pPr>
        <w:pStyle w:val="FootnoteText"/>
      </w:pPr>
      <w:r>
        <w:rPr>
          <w:rStyle w:val="FootnoteReference"/>
        </w:rPr>
        <w:footnoteRef/>
      </w:r>
      <w:r>
        <w:t xml:space="preserve"> </w:t>
      </w:r>
      <w:r>
        <w:t xml:space="preserve">Jennifer Kibbe,</w:t>
      </w:r>
      <w:r>
        <w:t xml:space="preserve"> </w:t>
      </w:r>
      <w:r>
        <w:t xml:space="preserve">“</w:t>
      </w:r>
      <w:r>
        <w:t xml:space="preserve">Congressional Oversight of Intelligence: Is the Solution Part of the Problem?</w:t>
      </w:r>
      <w:r>
        <w:t xml:space="preserve">”</w:t>
      </w:r>
      <w:r>
        <w:t xml:space="preserve"> </w:t>
      </w:r>
      <w:r>
        <w:rPr>
          <w:iCs/>
          <w:i/>
        </w:rPr>
        <w:t xml:space="preserve">Intelligence and National Security</w:t>
      </w:r>
      <w:r>
        <w:t xml:space="preserve"> </w:t>
      </w:r>
      <w:r>
        <w:t xml:space="preserve">25, no. 1 (2010): 24–49; Kathleen Clark,</w:t>
      </w:r>
      <w:r>
        <w:t xml:space="preserve"> </w:t>
      </w:r>
      <w:r>
        <w:t xml:space="preserve">“</w:t>
      </w:r>
      <w:r>
        <w:t xml:space="preserve">Congressional Access to Intelligence Information: The Appearance of a Check on Executive Power,</w:t>
      </w:r>
      <w:r>
        <w:t xml:space="preserve">”</w:t>
      </w:r>
      <w:r>
        <w:t xml:space="preserve"> </w:t>
      </w:r>
      <w:r>
        <w:t xml:space="preserve">Legal Studies Research Paper No. 12-07-02 (July 2012), https://ssrn.com/abstract=2112081, p. 15 (the leaders’</w:t>
      </w:r>
      <w:r>
        <w:t xml:space="preserve"> </w:t>
      </w:r>
      <w:r>
        <w:t xml:space="preserve">“</w:t>
      </w:r>
      <w:r>
        <w:t xml:space="preserve">silence came to be seen as endorsement</w:t>
      </w:r>
      <w:r>
        <w:t xml:space="preserve">”</w:t>
      </w:r>
      <w:r>
        <w:t xml:space="preserve">). See also Mary B. DeRosa,</w:t>
      </w:r>
      <w:r>
        <w:t xml:space="preserve"> </w:t>
      </w:r>
      <w:r>
        <w:t xml:space="preserve">“</w:t>
      </w:r>
      <w:r>
        <w:t xml:space="preserve">Congressional Oversight of US Intelligence Activities,</w:t>
      </w:r>
      <w:r>
        <w:t xml:space="preserve">”</w:t>
      </w:r>
      <w:r>
        <w:t xml:space="preserve"> </w:t>
      </w:r>
      <w:r>
        <w:t xml:space="preserve">in</w:t>
      </w:r>
      <w:r>
        <w:t xml:space="preserve"> </w:t>
      </w:r>
      <w:r>
        <w:rPr>
          <w:iCs/>
          <w:i/>
        </w:rPr>
        <w:t xml:space="preserve">National Security Intelligence and Ethics</w:t>
      </w:r>
      <w:r>
        <w:t xml:space="preserve">, ed. Seumas Miller, Mitt Regan, and Patrick F. Walsh (Abingdon: Routledge, 2022), 216–231.</w:t>
      </w:r>
    </w:p>
  </w:footnote>
  <w:footnote w:id="36">
    <w:p>
      <w:pPr>
        <w:pStyle w:val="FootnoteText"/>
      </w:pPr>
      <w:r>
        <w:rPr>
          <w:rStyle w:val="FootnoteReference"/>
        </w:rPr>
        <w:footnoteRef/>
      </w:r>
      <w:r>
        <w:t xml:space="preserve"> </w:t>
      </w:r>
      <w:r>
        <w:t xml:space="preserve">Harold Hongju Koh,</w:t>
      </w:r>
      <w:r>
        <w:t xml:space="preserve"> </w:t>
      </w:r>
      <w:r>
        <w:t xml:space="preserve">“</w:t>
      </w:r>
      <w:r>
        <w:t xml:space="preserve">Why the President (Almost) Always Wins in Foreign Affairs: Lessons of the Iran-Contra Affair,</w:t>
      </w:r>
      <w:r>
        <w:t xml:space="preserve">”</w:t>
      </w:r>
      <w:r>
        <w:t xml:space="preserve"> </w:t>
      </w:r>
      <w:r>
        <w:rPr>
          <w:iCs/>
          <w:i/>
        </w:rPr>
        <w:t xml:space="preserve">Yale Law Journal</w:t>
      </w:r>
      <w:r>
        <w:t xml:space="preserve"> </w:t>
      </w:r>
      <w:r>
        <w:t xml:space="preserve">97 (1988): 1255–1342, at 1258 (the answer lay in</w:t>
      </w:r>
      <w:r>
        <w:t xml:space="preserve"> </w:t>
      </w:r>
      <w:r>
        <w:t xml:space="preserve">“</w:t>
      </w:r>
      <w:r>
        <w:t xml:space="preserve">a combination of three institutional factors: executive initiative, congressional acquiescence, and judicial tolerance</w:t>
      </w:r>
      <w:r>
        <w:t xml:space="preserve">”</w:t>
      </w:r>
      <w:r>
        <w:t xml:space="preserve">) and Part II, 1291–1317. On negotiated accommodation over information:</w:t>
      </w:r>
      <w:r>
        <w:t xml:space="preserve"> </w:t>
      </w:r>
      <w:r>
        <w:rPr>
          <w:iCs/>
          <w:i/>
        </w:rPr>
        <w:t xml:space="preserve">United States v. AT&amp;T</w:t>
      </w:r>
      <w:r>
        <w:t xml:space="preserve">, 567 F.2d 121 (D.C. Cir. 1977); Peter M. Shane,</w:t>
      </w:r>
      <w:r>
        <w:t xml:space="preserve"> </w:t>
      </w:r>
      <w:r>
        <w:t xml:space="preserve">“</w:t>
      </w:r>
      <w:r>
        <w:t xml:space="preserve">Legal Disagreement and Negotiation in a Government of Laws: The Case of Executive Privilege Claims Against Congress,</w:t>
      </w:r>
      <w:r>
        <w:t xml:space="preserve">”</w:t>
      </w:r>
      <w:r>
        <w:t xml:space="preserve"> </w:t>
      </w:r>
      <w:r>
        <w:rPr>
          <w:iCs/>
          <w:i/>
        </w:rPr>
        <w:t xml:space="preserve">Minnesota Law Review</w:t>
      </w:r>
      <w:r>
        <w:t xml:space="preserve"> </w:t>
      </w:r>
      <w:r>
        <w:t xml:space="preserve">71 (1987): 461–542, at 514–15 n.189 (</w:t>
      </w:r>
      <w:r>
        <w:t xml:space="preserve">“</w:t>
      </w:r>
      <w:r>
        <w:t xml:space="preserve">a very large number of information demands are being handled amicably between the branches,</w:t>
      </w:r>
      <w:r>
        <w:t xml:space="preserve">”</w:t>
      </w:r>
      <w:r>
        <w:t xml:space="preserve"> </w:t>
      </w:r>
      <w:r>
        <w:t xml:space="preserve">although</w:t>
      </w:r>
      <w:r>
        <w:t xml:space="preserve"> </w:t>
      </w:r>
      <w:r>
        <w:t xml:space="preserve">“</w:t>
      </w:r>
      <w:r>
        <w:t xml:space="preserve">The available data, however, are insufficient</w:t>
      </w:r>
      <w:r>
        <w:t xml:space="preserve">”</w:t>
      </w:r>
      <w:r>
        <w:t xml:space="preserve"> </w:t>
      </w:r>
      <w:r>
        <w:t xml:space="preserve">to show the disputed cases comparable) and 515 (the branches</w:t>
      </w:r>
      <w:r>
        <w:t xml:space="preserve"> </w:t>
      </w:r>
      <w:r>
        <w:t xml:space="preserve">“</w:t>
      </w:r>
      <w:r>
        <w:t xml:space="preserve">found room for accommodation without documented cost to the public interest</w:t>
      </w:r>
      <w:r>
        <w:t xml:space="preserve">”</w:t>
      </w:r>
      <w:r>
        <w:t xml:space="preserve">); Neal Devins,</w:t>
      </w:r>
      <w:r>
        <w:t xml:space="preserve"> </w:t>
      </w:r>
      <w:r>
        <w:t xml:space="preserve">“</w:t>
      </w:r>
      <w:r>
        <w:t xml:space="preserve">Congressional-Executive Information Access Disputes: A Modest Proposal—Do Nothing,</w:t>
      </w:r>
      <w:r>
        <w:t xml:space="preserve">”</w:t>
      </w:r>
      <w:r>
        <w:t xml:space="preserve"> </w:t>
      </w:r>
      <w:r>
        <w:rPr>
          <w:iCs/>
          <w:i/>
        </w:rPr>
        <w:t xml:space="preserve">Administrative Law Review</w:t>
      </w:r>
      <w:r>
        <w:t xml:space="preserve"> </w:t>
      </w:r>
      <w:r>
        <w:t xml:space="preserve">48 (1996): 109–137, at 110 (</w:t>
      </w:r>
      <w:r>
        <w:t xml:space="preserve">“</w:t>
      </w:r>
      <w:r>
        <w:t xml:space="preserve">Congressional committees are routinely able to get what they desire from agencies through direct requests and negotiation</w:t>
      </w:r>
      <w:r>
        <w:t xml:space="preserve">”</w:t>
      </w:r>
      <w:r>
        <w:t xml:space="preserve">).</w:t>
      </w:r>
    </w:p>
  </w:footnote>
  <w:footnote w:id="37">
    <w:p>
      <w:pPr>
        <w:pStyle w:val="FootnoteText"/>
      </w:pPr>
      <w:r>
        <w:rPr>
          <w:rStyle w:val="FootnoteReference"/>
        </w:rPr>
        <w:footnoteRef/>
      </w:r>
      <w:r>
        <w:t xml:space="preserve"> </w:t>
      </w:r>
      <w:r>
        <w:t xml:space="preserve">Mathew D. McCubbins and Thomas Schwartz,</w:t>
      </w:r>
      <w:r>
        <w:t xml:space="preserve"> </w:t>
      </w:r>
      <w:r>
        <w:t xml:space="preserve">“</w:t>
      </w:r>
      <w:r>
        <w:t xml:space="preserve">Congressional Oversight Overlooked: Police Patrols versus Fire Alarms,</w:t>
      </w:r>
      <w:r>
        <w:t xml:space="preserve">”</w:t>
      </w:r>
      <w:r>
        <w:t xml:space="preserve"> </w:t>
      </w:r>
      <w:r>
        <w:rPr>
          <w:iCs/>
          <w:i/>
        </w:rPr>
        <w:t xml:space="preserve">American Journal of Political Science</w:t>
      </w:r>
      <w:r>
        <w:t xml:space="preserve"> </w:t>
      </w:r>
      <w:r>
        <w:t xml:space="preserve">28, no. 1 (1984): 165–179, at 166 (fire-alarm oversight as</w:t>
      </w:r>
      <w:r>
        <w:t xml:space="preserve"> </w:t>
      </w:r>
      <w:r>
        <w:t xml:space="preserve">“</w:t>
      </w:r>
      <w:r>
        <w:t xml:space="preserve">a system of rules, procedures, and informal practices that enable individual citizens and organized interest groups to examine administrative decisions</w:t>
      </w:r>
      <w:r>
        <w:t xml:space="preserve">”</w:t>
      </w:r>
      <w:r>
        <w:t xml:space="preserve">). Zegart,</w:t>
      </w:r>
      <w:r>
        <w:t xml:space="preserve"> </w:t>
      </w:r>
      <w:r>
        <w:t xml:space="preserve">“</w:t>
      </w:r>
      <w:r>
        <w:t xml:space="preserve">Domestic Politics,</w:t>
      </w:r>
      <w:r>
        <w:t xml:space="preserve">”</w:t>
      </w:r>
      <w:r>
        <w:t xml:space="preserve"> </w:t>
      </w:r>
      <w:r>
        <w:t xml:space="preserve">7–8 and n. 30, observes that the authors never consider</w:t>
      </w:r>
      <w:r>
        <w:t xml:space="preserve"> </w:t>
      </w:r>
      <w:r>
        <w:t xml:space="preserve">“</w:t>
      </w:r>
      <w:r>
        <w:t xml:space="preserve">a policy area like intelligence that is steeped in secrecy and has few interest groups on the scene.</w:t>
      </w:r>
      <w:r>
        <w:t xml:space="preserve">”</w:t>
      </w:r>
    </w:p>
  </w:footnote>
  <w:footnote w:id="38">
    <w:p>
      <w:pPr>
        <w:pStyle w:val="FootnoteText"/>
      </w:pPr>
      <w:r>
        <w:rPr>
          <w:rStyle w:val="FootnoteReference"/>
        </w:rPr>
        <w:footnoteRef/>
      </w:r>
      <w:r>
        <w:t xml:space="preserve"> </w:t>
      </w:r>
      <w:r>
        <w:t xml:space="preserve">Michael J. Glennon,</w:t>
      </w:r>
      <w:r>
        <w:t xml:space="preserve"> </w:t>
      </w:r>
      <w:r>
        <w:t xml:space="preserve">“</w:t>
      </w:r>
      <w:r>
        <w:t xml:space="preserve">National Security and Double Government,</w:t>
      </w:r>
      <w:r>
        <w:t xml:space="preserve">”</w:t>
      </w:r>
      <w:r>
        <w:t xml:space="preserve"> </w:t>
      </w:r>
      <w:r>
        <w:rPr>
          <w:iCs/>
          <w:i/>
        </w:rPr>
        <w:t xml:space="preserve">Harvard National Security Journal</w:t>
      </w:r>
      <w:r>
        <w:t xml:space="preserve"> </w:t>
      </w:r>
      <w:r>
        <w:t xml:space="preserve">5 (2014): 1–114, at 16–18 (the</w:t>
      </w:r>
      <w:r>
        <w:t xml:space="preserve"> </w:t>
      </w:r>
      <w:r>
        <w:t xml:space="preserve">“</w:t>
      </w:r>
      <w:r>
        <w:t xml:space="preserve">Madisonian</w:t>
      </w:r>
      <w:r>
        <w:t xml:space="preserve">”</w:t>
      </w:r>
      <w:r>
        <w:t xml:space="preserve"> </w:t>
      </w:r>
      <w:r>
        <w:t xml:space="preserve">institutions and the</w:t>
      </w:r>
      <w:r>
        <w:t xml:space="preserve"> </w:t>
      </w:r>
      <w:r>
        <w:t xml:space="preserve">“</w:t>
      </w:r>
      <w:r>
        <w:t xml:space="preserve">Trumanite</w:t>
      </w:r>
      <w:r>
        <w:t xml:space="preserve">”</w:t>
      </w:r>
      <w:r>
        <w:t xml:space="preserve"> </w:t>
      </w:r>
      <w:r>
        <w:t xml:space="preserve">network). The book of the same title (Oxford: Oxford University Press, 2014) develops the argument and is not relied on here.</w:t>
      </w:r>
    </w:p>
  </w:footnote>
  <w:footnote w:id="39">
    <w:p>
      <w:pPr>
        <w:pStyle w:val="FootnoteText"/>
      </w:pPr>
      <w:r>
        <w:rPr>
          <w:rStyle w:val="FootnoteReference"/>
        </w:rPr>
        <w:footnoteRef/>
      </w:r>
      <w:r>
        <w:t xml:space="preserve"> </w:t>
      </w:r>
      <w:r>
        <w:t xml:space="preserve">Kathleen Clark,</w:t>
      </w:r>
      <w:r>
        <w:t xml:space="preserve"> </w:t>
      </w:r>
      <w:r>
        <w:t xml:space="preserve">“</w:t>
      </w:r>
      <w:r>
        <w:t xml:space="preserve">Congress’s Right to Counsel in Intelligence Oversight,</w:t>
      </w:r>
      <w:r>
        <w:t xml:space="preserve">”</w:t>
      </w:r>
      <w:r>
        <w:t xml:space="preserve"> </w:t>
      </w:r>
      <w:r>
        <w:rPr>
          <w:iCs/>
          <w:i/>
        </w:rPr>
        <w:t xml:space="preserve">University of Illinois Law Review</w:t>
      </w:r>
      <w:r>
        <w:t xml:space="preserve"> </w:t>
      </w:r>
      <w:r>
        <w:t xml:space="preserve">2011, no. 3: 915–60, at 935 (Part I.D,</w:t>
      </w:r>
      <w:r>
        <w:t xml:space="preserve"> </w:t>
      </w:r>
      <w:r>
        <w:t xml:space="preserve">“</w:t>
      </w:r>
      <w:r>
        <w:t xml:space="preserve">Limited Notification as Inoculation</w:t>
      </w:r>
      <w:r>
        <w:t xml:space="preserve">”</w:t>
      </w:r>
      <w:r>
        <w:t xml:space="preserve">); Clark,</w:t>
      </w:r>
      <w:r>
        <w:t xml:space="preserve"> </w:t>
      </w:r>
      <w:r>
        <w:t xml:space="preserve">“</w:t>
      </w:r>
      <w:r>
        <w:t xml:space="preserve">Congressional Access to Intelligence Information.</w:t>
      </w:r>
      <w:r>
        <w:t xml:space="preserve">”</w:t>
      </w:r>
    </w:p>
  </w:footnote>
  <w:footnote w:id="40">
    <w:p>
      <w:pPr>
        <w:pStyle w:val="FootnoteText"/>
      </w:pPr>
      <w:r>
        <w:rPr>
          <w:rStyle w:val="FootnoteReference"/>
        </w:rPr>
        <w:footnoteRef/>
      </w:r>
      <w:r>
        <w:t xml:space="preserve"> </w:t>
      </w:r>
      <w:r>
        <w:t xml:space="preserve">Heidi Kitrosser,</w:t>
      </w:r>
      <w:r>
        <w:t xml:space="preserve"> </w:t>
      </w:r>
      <w:r>
        <w:t xml:space="preserve">“</w:t>
      </w:r>
      <w:r>
        <w:t xml:space="preserve">Congressional Oversight of National Security Activities: Improving Information Funnels,</w:t>
      </w:r>
      <w:r>
        <w:t xml:space="preserve">”</w:t>
      </w:r>
      <w:r>
        <w:t xml:space="preserve"> </w:t>
      </w:r>
      <w:r>
        <w:rPr>
          <w:iCs/>
          <w:i/>
        </w:rPr>
        <w:t xml:space="preserve">Cardozo Law Review</w:t>
      </w:r>
      <w:r>
        <w:t xml:space="preserve"> </w:t>
      </w:r>
      <w:r>
        <w:t xml:space="preserve">29, no. 3 (2008): 1049, at 1050 (the</w:t>
      </w:r>
      <w:r>
        <w:t xml:space="preserve"> </w:t>
      </w:r>
      <w:r>
        <w:t xml:space="preserve">“</w:t>
      </w:r>
      <w:r>
        <w:t xml:space="preserve">information funnel</w:t>
      </w:r>
      <w:r>
        <w:t xml:space="preserve">”</w:t>
      </w:r>
      <w:r>
        <w:t xml:space="preserve"> </w:t>
      </w:r>
      <w:r>
        <w:t xml:space="preserve">approach,</w:t>
      </w:r>
      <w:r>
        <w:t xml:space="preserve"> </w:t>
      </w:r>
      <w:r>
        <w:t xml:space="preserve">“</w:t>
      </w:r>
      <w:r>
        <w:t xml:space="preserve">funneling information only to discrete groups of people</w:t>
      </w:r>
      <w:r>
        <w:t xml:space="preserve">”</w:t>
      </w:r>
      <w:r>
        <w:t xml:space="preserve">) and 1072 (</w:t>
      </w:r>
      <w:r>
        <w:t xml:space="preserve">“</w:t>
      </w:r>
      <w:r>
        <w:t xml:space="preserve">the near absence of public accountability for behavior in the information funneling process</w:t>
      </w:r>
      <w:r>
        <w:t xml:space="preserve">”</w:t>
      </w:r>
      <w:r>
        <w:t xml:space="preserve">). Kitrosser,</w:t>
      </w:r>
      <w:r>
        <w:t xml:space="preserve"> </w:t>
      </w:r>
      <w:r>
        <w:rPr>
          <w:iCs/>
          <w:i/>
        </w:rPr>
        <w:t xml:space="preserve">Reclaiming Accountability: Transparency, Executive Power, and the U.S. Constitution</w:t>
      </w:r>
      <w:r>
        <w:t xml:space="preserve"> </w:t>
      </w:r>
      <w:r>
        <w:t xml:space="preserve">(Chicago: University of Chicago Press, 2015), is further reading.</w:t>
      </w:r>
    </w:p>
  </w:footnote>
  <w:footnote w:id="41">
    <w:p>
      <w:pPr>
        <w:pStyle w:val="FootnoteText"/>
      </w:pPr>
      <w:r>
        <w:rPr>
          <w:rStyle w:val="FootnoteReference"/>
        </w:rPr>
        <w:footnoteRef/>
      </w:r>
      <w:r>
        <w:t xml:space="preserve"> </w:t>
      </w:r>
      <w:r>
        <w:t xml:space="preserve">Jack Goldsmith,</w:t>
      </w:r>
      <w:r>
        <w:t xml:space="preserve"> </w:t>
      </w:r>
      <w:r>
        <w:rPr>
          <w:iCs/>
          <w:i/>
        </w:rPr>
        <w:t xml:space="preserve">Power and Constraint: The Accountable Presidency After 9/11</w:t>
      </w:r>
      <w:r>
        <w:t xml:space="preserve"> </w:t>
      </w:r>
      <w:r>
        <w:t xml:space="preserve">(New York: W. W. Norton, 2012). The project holds a summary of this book reconstructed from a review, the publisher’s description, and academic reviews, and an Internet Archive lending-library copy protected by Adobe digital-rights management, which the project’s tools cannot read and which it will not try to unlock. The rival stated in the text is this paper’s formulation, and no argument or page is attributed to the book.</w:t>
      </w:r>
    </w:p>
  </w:footnote>
  <w:footnote w:id="42">
    <w:p>
      <w:pPr>
        <w:pStyle w:val="FootnoteText"/>
      </w:pPr>
      <w:r>
        <w:rPr>
          <w:rStyle w:val="FootnoteReference"/>
        </w:rPr>
        <w:footnoteRef/>
      </w:r>
      <w:r>
        <w:t xml:space="preserve"> </w:t>
      </w:r>
      <w:r>
        <w:t xml:space="preserve">What the project holds for each of the six books: for Goldsmith,</w:t>
      </w:r>
      <w:r>
        <w:t xml:space="preserve"> </w:t>
      </w:r>
      <w:r>
        <w:rPr>
          <w:iCs/>
          <w:i/>
        </w:rPr>
        <w:t xml:space="preserve">Power and Constraint</w:t>
      </w:r>
      <w:r>
        <w:t xml:space="preserve"> </w:t>
      </w:r>
      <w:r>
        <w:t xml:space="preserve">(New York: W. W. Norton, 2012), a summary reconstructed from the publisher’s description and reviews and an Internet Archive lending-library copy protected by Adobe digital-rights management that could not be read; for Johnson,</w:t>
      </w:r>
      <w:r>
        <w:t xml:space="preserve"> </w:t>
      </w:r>
      <w:r>
        <w:rPr>
          <w:iCs/>
          <w:i/>
        </w:rPr>
        <w:t xml:space="preserve">A Season of Inquiry Revisited</w:t>
      </w:r>
      <w:r>
        <w:t xml:space="preserve"> </w:t>
      </w:r>
      <w:r>
        <w:t xml:space="preserve">(Lawrence: University Press of Kansas, 2015) and</w:t>
      </w:r>
      <w:r>
        <w:t xml:space="preserve"> </w:t>
      </w:r>
      <w:r>
        <w:rPr>
          <w:iCs/>
          <w:i/>
        </w:rPr>
        <w:t xml:space="preserve">Spy Watching</w:t>
      </w:r>
      <w:r>
        <w:t xml:space="preserve"> </w:t>
      </w:r>
      <w:r>
        <w:t xml:space="preserve">(Oxford: Oxford University Press, 2018), summaries reconstructed from publishers’ descriptions and reviews; for William C. Banks and Peter Raven-Hansen,</w:t>
      </w:r>
      <w:r>
        <w:t xml:space="preserve"> </w:t>
      </w:r>
      <w:r>
        <w:rPr>
          <w:iCs/>
          <w:i/>
        </w:rPr>
        <w:t xml:space="preserve">National Security Law and the Power of the Purse</w:t>
      </w:r>
      <w:r>
        <w:t xml:space="preserve"> </w:t>
      </w:r>
      <w:r>
        <w:t xml:space="preserve">(New York: Oxford University Press, 1994), the publisher’s abstract, https://academic.oup.com/book/50413; for Frederick A. O. Schwarz Jr. and Aziz Z. Huq,</w:t>
      </w:r>
      <w:r>
        <w:t xml:space="preserve"> </w:t>
      </w:r>
      <w:r>
        <w:rPr>
          <w:iCs/>
          <w:i/>
        </w:rPr>
        <w:t xml:space="preserve">Unchecked and Unbalanced: Presidential Power in a Time of Terror</w:t>
      </w:r>
      <w:r>
        <w:t xml:space="preserve"> </w:t>
      </w:r>
      <w:r>
        <w:t xml:space="preserve">(New York: The New Press, 2007), the publisher’s description, https://thenewpress.org/books/unchecked-and-unbalanced/; and for David Rudenstine,</w:t>
      </w:r>
      <w:r>
        <w:t xml:space="preserve"> </w:t>
      </w:r>
      <w:r>
        <w:rPr>
          <w:iCs/>
          <w:i/>
        </w:rPr>
        <w:t xml:space="preserve">The Age of Deference: The Supreme Court, National Security, and the Constitutional Order</w:t>
      </w:r>
      <w:r>
        <w:t xml:space="preserve"> </w:t>
      </w:r>
      <w:r>
        <w:t xml:space="preserve">(New York: Oxford University Press, 2016), a research summary linked to the publisher’s page. None supports page-specific quotation or a comprehensive account of the book.</w:t>
      </w:r>
    </w:p>
  </w:footnote>
  <w:footnote w:id="43">
    <w:p>
      <w:pPr>
        <w:pStyle w:val="FootnoteText"/>
      </w:pPr>
      <w:r>
        <w:rPr>
          <w:rStyle w:val="FootnoteReference"/>
        </w:rPr>
        <w:footnoteRef/>
      </w:r>
      <w:r>
        <w:t xml:space="preserve"> </w:t>
      </w:r>
      <w:r>
        <w:t xml:space="preserve">Alfred Cumming,</w:t>
      </w:r>
      <w:r>
        <w:t xml:space="preserve"> </w:t>
      </w:r>
      <w:r>
        <w:rPr>
          <w:iCs/>
          <w:i/>
        </w:rPr>
        <w:t xml:space="preserve">Congress as a Consumer of Intelligence Information</w:t>
      </w:r>
      <w:r>
        <w:t xml:space="preserve">, Congressional Research Service Report R40136, January 28, 2010, summary (the President</w:t>
      </w:r>
      <w:r>
        <w:t xml:space="preserve"> </w:t>
      </w:r>
      <w:r>
        <w:t xml:space="preserve">“</w:t>
      </w:r>
      <w:r>
        <w:t xml:space="preserve">has the authority to restrict the flow of intelligence information to Congress</w:t>
      </w:r>
      <w:r>
        <w:t xml:space="preserve">”</w:t>
      </w:r>
      <w:r>
        <w:t xml:space="preserve">) and pp. 1–4 (including the statutory</w:t>
      </w:r>
      <w:r>
        <w:t xml:space="preserve"> </w:t>
      </w:r>
      <w:r>
        <w:t xml:space="preserve">“</w:t>
      </w:r>
      <w:r>
        <w:t xml:space="preserve">Gang of Eight</w:t>
      </w:r>
      <w:r>
        <w:t xml:space="preserve">”</w:t>
      </w:r>
      <w:r>
        <w:t xml:space="preserve"> </w:t>
      </w:r>
      <w:r>
        <w:t xml:space="preserve">notifications, p. 4), https://www.everycrsreport.com/files/20100128_R40136_8fa60d28782e3e5beb9c290da190c2578ee2c81f.pdf; Clark,</w:t>
      </w:r>
      <w:r>
        <w:t xml:space="preserve"> </w:t>
      </w:r>
      <w:r>
        <w:t xml:space="preserve">“</w:t>
      </w:r>
      <w:r>
        <w:t xml:space="preserve">Congressional Access to Intelligence Information,</w:t>
      </w:r>
      <w:r>
        <w:t xml:space="preserve">”</w:t>
      </w:r>
      <w:r>
        <w:t xml:space="preserve"> </w:t>
      </w:r>
      <w:r>
        <w:t xml:space="preserve">p. 15 (restricted briefings and silence</w:t>
      </w:r>
      <w:r>
        <w:t xml:space="preserve"> </w:t>
      </w:r>
      <w:r>
        <w:t xml:space="preserve">“</w:t>
      </w:r>
      <w:r>
        <w:t xml:space="preserve">seen as endorsement</w:t>
      </w:r>
      <w:r>
        <w:t xml:space="preserve">”</w:t>
      </w:r>
      <w:r>
        <w:t xml:space="preserve">).</w:t>
      </w:r>
    </w:p>
  </w:footnote>
  <w:footnote w:id="45">
    <w:p>
      <w:pPr>
        <w:pStyle w:val="FootnoteText"/>
      </w:pPr>
      <w:r>
        <w:rPr>
          <w:rStyle w:val="FootnoteReference"/>
        </w:rPr>
        <w:footnoteRef/>
      </w:r>
      <w:r>
        <w:t xml:space="preserve"> </w:t>
      </w:r>
      <w:r>
        <w:t xml:space="preserve">The</w:t>
      </w:r>
      <w:r>
        <w:t xml:space="preserve"> </w:t>
      </w:r>
      <w:r>
        <w:t xml:space="preserve">“</w:t>
      </w:r>
      <w:r>
        <w:t xml:space="preserve">bargaining</w:t>
      </w:r>
      <w:r>
        <w:t xml:space="preserve">”</w:t>
      </w:r>
      <w:r>
        <w:t xml:space="preserve"> </w:t>
      </w:r>
      <w:r>
        <w:t xml:space="preserve">label proposes a self-reinforcing institutional pattern, not a formal non-cooperative game of the kind in Ariel Rubinstein,</w:t>
      </w:r>
      <w:r>
        <w:t xml:space="preserve"> </w:t>
      </w:r>
      <w:r>
        <w:t xml:space="preserve">“</w:t>
      </w:r>
      <w:r>
        <w:t xml:space="preserve">Perfect Equilibrium in a Bargaining Model,</w:t>
      </w:r>
      <w:r>
        <w:t xml:space="preserve">”</w:t>
      </w:r>
      <w:r>
        <w:t xml:space="preserve"> </w:t>
      </w:r>
      <w:r>
        <w:rPr>
          <w:iCs/>
          <w:i/>
        </w:rPr>
        <w:t xml:space="preserve">Econometrica</w:t>
      </w:r>
      <w:r>
        <w:t xml:space="preserve"> </w:t>
      </w:r>
      <w:r>
        <w:t xml:space="preserve">50, no. 1 (1982): 97–109, or Vincent P. Crawford and Joel Sobel,</w:t>
      </w:r>
      <w:r>
        <w:t xml:space="preserve"> </w:t>
      </w:r>
      <w:r>
        <w:t xml:space="preserve">“</w:t>
      </w:r>
      <w:r>
        <w:t xml:space="preserve">Strategic Information Transmission,</w:t>
      </w:r>
      <w:r>
        <w:t xml:space="preserve">”</w:t>
      </w:r>
      <w:r>
        <w:t xml:space="preserve"> </w:t>
      </w:r>
      <w:r>
        <w:rPr>
          <w:iCs/>
          <w:i/>
        </w:rPr>
        <w:t xml:space="preserve">Econometrica</w:t>
      </w:r>
      <w:r>
        <w:t xml:space="preserve"> </w:t>
      </w:r>
      <w:r>
        <w:t xml:space="preserve">50, no. 6 (1982): 1431–51. It describes an institutional pattern of the kind Knight and Pierson analyze (works cited at the end of this note): the structural conditions tend to reproduce the configuration, a proposition these exploratory cases illustrate but do not test, and not a claim that each interaction reaches a game-theoretic solution. The case record also does not supply the separate payoffs (executive reputational cost, congressional electoral cost, public-trust cost) a formal model would need. A formal model would yield predictions about how the pattern shifts as each payoff changes; that is left to future work. See Jack Knight,</w:t>
      </w:r>
      <w:r>
        <w:t xml:space="preserve"> </w:t>
      </w:r>
      <w:r>
        <w:rPr>
          <w:iCs/>
          <w:i/>
        </w:rPr>
        <w:t xml:space="preserve">Institutions and Social Conflict</w:t>
      </w:r>
      <w:r>
        <w:t xml:space="preserve"> </w:t>
      </w:r>
      <w:r>
        <w:t xml:space="preserve">(Cambridge: Cambridge University Press, 1992); Paul Pierson,</w:t>
      </w:r>
      <w:r>
        <w:t xml:space="preserve"> </w:t>
      </w:r>
      <w:r>
        <w:rPr>
          <w:iCs/>
          <w:i/>
        </w:rPr>
        <w:t xml:space="preserve">Politics in Time</w:t>
      </w:r>
      <w:r>
        <w:t xml:space="preserve"> </w:t>
      </w:r>
      <w:r>
        <w:t xml:space="preserve">(Princeton: Princeton University Press, 2004).</w:t>
      </w:r>
    </w:p>
  </w:footnote>
  <w:footnote w:id="46">
    <w:p>
      <w:pPr>
        <w:pStyle w:val="FootnoteText"/>
      </w:pPr>
      <w:r>
        <w:rPr>
          <w:rStyle w:val="FootnoteReference"/>
        </w:rPr>
        <w:footnoteRef/>
      </w:r>
      <w:r>
        <w:t xml:space="preserve"> </w:t>
      </w:r>
      <w:r>
        <w:t xml:space="preserve">Clark,</w:t>
      </w:r>
      <w:r>
        <w:t xml:space="preserve"> </w:t>
      </w:r>
      <w:r>
        <w:t xml:space="preserve">“</w:t>
      </w:r>
      <w:r>
        <w:t xml:space="preserve">Congress’s Right to Counsel,</w:t>
      </w:r>
      <w:r>
        <w:t xml:space="preserve">”</w:t>
      </w:r>
      <w:r>
        <w:t xml:space="preserve"> </w:t>
      </w:r>
      <w:r>
        <w:t xml:space="preserve">pp. 917 (Rockefeller unable to consult staff or counsel), 935 (</w:t>
      </w:r>
      <w:r>
        <w:t xml:space="preserve">“</w:t>
      </w:r>
      <w:r>
        <w:t xml:space="preserve">Limited Notification as Inoculation</w:t>
      </w:r>
      <w:r>
        <w:t xml:space="preserve">”</w:t>
      </w:r>
      <w:r>
        <w:t xml:space="preserve">), and 959–60 (conclusion), https://www.illinoislawreview.org/wp-content/ilr-content/articles/2011/3/Clark.pdf; Cumming,</w:t>
      </w:r>
      <w:r>
        <w:t xml:space="preserve"> </w:t>
      </w:r>
      <w:r>
        <w:rPr>
          <w:iCs/>
          <w:i/>
        </w:rPr>
        <w:t xml:space="preserve">Congress as a Consumer</w:t>
      </w:r>
      <w:r>
        <w:t xml:space="preserve">, summary and pp. 1–2, especially p. 2 n.5 (members’ access to intelligence is</w:t>
      </w:r>
      <w:r>
        <w:t xml:space="preserve"> </w:t>
      </w:r>
      <w:r>
        <w:t xml:space="preserve">“</w:t>
      </w:r>
      <w:r>
        <w:t xml:space="preserve">by virtue of their elected positions</w:t>
      </w:r>
      <w:r>
        <w:t xml:space="preserve">”</w:t>
      </w:r>
      <w:r>
        <w:t xml:space="preserve">; members are not subject to background checks,</w:t>
      </w:r>
      <w:r>
        <w:t xml:space="preserve"> </w:t>
      </w:r>
      <w:r>
        <w:t xml:space="preserve">“</w:t>
      </w:r>
      <w:r>
        <w:t xml:space="preserve">nor are they issued security clearances</w:t>
      </w:r>
      <w:r>
        <w:t xml:space="preserve">”</w:t>
      </w:r>
      <w:r>
        <w:t xml:space="preserve">).</w:t>
      </w:r>
    </w:p>
  </w:footnote>
  <w:footnote w:id="47">
    <w:p>
      <w:pPr>
        <w:pStyle w:val="FootnoteText"/>
      </w:pPr>
      <w:r>
        <w:rPr>
          <w:rStyle w:val="FootnoteReference"/>
        </w:rPr>
        <w:footnoteRef/>
      </w:r>
      <w:r>
        <w:t xml:space="preserve"> </w:t>
      </w:r>
      <w:r>
        <w:t xml:space="preserve">2 U.S.C. §§ 192, 194 (criminal contempt, certified to</w:t>
      </w:r>
      <w:r>
        <w:t xml:space="preserve"> </w:t>
      </w:r>
      <w:r>
        <w:t xml:space="preserve">“</w:t>
      </w:r>
      <w:r>
        <w:t xml:space="preserve">the appropriate United States attorney, whose duty it shall be to bring the matter before the grand jury</w:t>
      </w:r>
      <w:r>
        <w:t xml:space="preserve">”</w:t>
      </w:r>
      <w:r>
        <w:t xml:space="preserve">); 18 U.S.C. §§ 1001, 1621; 28 U.S.C. §§ 516, 547(1). Office of Legal Counsel,</w:t>
      </w:r>
      <w:r>
        <w:t xml:space="preserve"> </w:t>
      </w:r>
      <w:r>
        <w:t xml:space="preserve">“</w:t>
      </w:r>
      <w:r>
        <w:t xml:space="preserve">Prosecution for Contempt of Congress of an Executive Branch Official Who Has Asserted a Claim of Executive Privilege,</w:t>
      </w:r>
      <w:r>
        <w:t xml:space="preserve">”</w:t>
      </w:r>
      <w:r>
        <w:t xml:space="preserve"> </w:t>
      </w:r>
      <w:r>
        <w:t xml:space="preserve">8 Op. O.L.C. 101 (1984), https://www.justice.gov/file/150521/dl, 102 (a United States Attorney</w:t>
      </w:r>
      <w:r>
        <w:t xml:space="preserve"> </w:t>
      </w:r>
      <w:r>
        <w:t xml:space="preserve">“</w:t>
      </w:r>
      <w:r>
        <w:t xml:space="preserve">is not required to refer a contempt citation in these circumstances to a grand jury or otherwise to prosecute an Executive Branch official who is carrying out the President’s instruction in a factual context such as that presented by the December 16, 1982, contempt citation</w:t>
      </w:r>
      <w:r>
        <w:t xml:space="preserve">”</w:t>
      </w:r>
      <w:r>
        <w:t xml:space="preserve">;</w:t>
      </w:r>
      <w:r>
        <w:t xml:space="preserve"> </w:t>
      </w:r>
      <w:r>
        <w:t xml:space="preserve">“</w:t>
      </w:r>
      <w:r>
        <w:t xml:space="preserve">our conclusions are limited to the unique circumstances that gave rise to these questions in late 1982 and early 1983</w:t>
      </w:r>
      <w:r>
        <w:t xml:space="preserve">”</w:t>
      </w:r>
      <w:r>
        <w:t xml:space="preserve">), 140 n.42 (the same conclusion</w:t>
      </w:r>
      <w:r>
        <w:t xml:space="preserve"> </w:t>
      </w:r>
      <w:r>
        <w:t xml:space="preserve">“</w:t>
      </w:r>
      <w:r>
        <w:t xml:space="preserve">would apply to any attempt by Congress to utilize its inherent</w:t>
      </w:r>
      <w:r>
        <w:t xml:space="preserve"> </w:t>
      </w:r>
      <w:r>
        <w:t xml:space="preserve">‘</w:t>
      </w:r>
      <w:r>
        <w:t xml:space="preserve">civil</w:t>
      </w:r>
      <w:r>
        <w:t xml:space="preserve">’</w:t>
      </w:r>
      <w:r>
        <w:t xml:space="preserve"> </w:t>
      </w:r>
      <w:r>
        <w:t xml:space="preserve">contempt powers to arrest, bring to trial, and punish an executive official who asserted a Presidential claim of executive privilege</w:t>
      </w:r>
      <w:r>
        <w:t xml:space="preserve">”</w:t>
      </w:r>
      <w:r>
        <w:t xml:space="preserve">). Office of Legal Counsel,</w:t>
      </w:r>
      <w:r>
        <w:t xml:space="preserve"> </w:t>
      </w:r>
      <w:r>
        <w:t xml:space="preserve">“</w:t>
      </w:r>
      <w:r>
        <w:t xml:space="preserve">Whether Congress May Use Inherent Contempt to Punish Executive Branch Officials Who Withhold Subpoenaed Materials Based on a Presidential Assertion of Executive Privilege,</w:t>
      </w:r>
      <w:r>
        <w:t xml:space="preserve">”</w:t>
      </w:r>
      <w:r>
        <w:t xml:space="preserve"> </w:t>
      </w:r>
      <w:r>
        <w:t xml:space="preserve">December 20, 2024, https://www.justice.gov/olc/media/1382626/dl, slip op. at 1 (the resolution for daily fines on the Attorney General</w:t>
      </w:r>
      <w:r>
        <w:t xml:space="preserve"> </w:t>
      </w:r>
      <w:r>
        <w:t xml:space="preserve">“</w:t>
      </w:r>
      <w:r>
        <w:t xml:space="preserve">was brought to the House floor but failed to pass,</w:t>
      </w:r>
      <w:r>
        <w:t xml:space="preserve">”</w:t>
      </w:r>
      <w:r>
        <w:t xml:space="preserve"> </w:t>
      </w:r>
      <w:r>
        <w:t xml:space="preserve">citing 170 Cong. Rec. H4609 (daily ed. July 11, 2024)), 1–2 (</w:t>
      </w:r>
      <w:r>
        <w:t xml:space="preserve">“</w:t>
      </w:r>
      <w:r>
        <w:t xml:space="preserve">Congress cannot use its inherent contempt power to arrest, imprison, or otherwise punish an Executive Branch official for complying with the President’s assertion of executive privilege</w:t>
      </w:r>
      <w:r>
        <w:t xml:space="preserve">”</w:t>
      </w:r>
      <w:r>
        <w:t xml:space="preserve">), 3 (under</w:t>
      </w:r>
      <w:r>
        <w:t xml:space="preserve"> </w:t>
      </w:r>
      <w:r>
        <w:t xml:space="preserve">“</w:t>
      </w:r>
      <w:r>
        <w:t xml:space="preserve">longstanding Executive Branch precedent, the criminal contempt of Congress statute does not apply, and could not constitutionally be applied, to Executive Branch officials who do not disclose materials to Congress based on a presidential assertion of privilege,</w:t>
      </w:r>
      <w:r>
        <w:t xml:space="preserve">”</w:t>
      </w:r>
      <w:r>
        <w:t xml:space="preserve"> </w:t>
      </w:r>
      <w:r>
        <w:t xml:space="preserve">citing 8 Op. O.L.C. at 129; the recordings subpoenaed from the Attorney General were</w:t>
      </w:r>
      <w:r>
        <w:t xml:space="preserve"> </w:t>
      </w:r>
      <w:r>
        <w:t xml:space="preserve">“</w:t>
      </w:r>
      <w:r>
        <w:t xml:space="preserve">the audio recordings of the Special Counsel’s interviews</w:t>
      </w:r>
      <w:r>
        <w:t xml:space="preserve">”</w:t>
      </w:r>
      <w:r>
        <w:t xml:space="preserve">), and 4 (the Department told the Speaker in June 2024 that it</w:t>
      </w:r>
      <w:r>
        <w:t xml:space="preserve"> </w:t>
      </w:r>
      <w:r>
        <w:t xml:space="preserve">“</w:t>
      </w:r>
      <w:r>
        <w:t xml:space="preserve">would not bring the matter before a grand jury or take any other action to prosecute the Attorney General</w:t>
      </w:r>
      <w:r>
        <w:t xml:space="preserve">”</w:t>
      </w:r>
      <w:r>
        <w:t xml:space="preserve">; the Department’s letter itself was not opened for this edition). Todd Garvey,</w:t>
      </w:r>
      <w:r>
        <w:t xml:space="preserve"> </w:t>
      </w:r>
      <w:r>
        <w:rPr>
          <w:iCs/>
          <w:i/>
        </w:rPr>
        <w:t xml:space="preserve">Congressional Subpoenas: Enforcing Executive Branch Compliance</w:t>
      </w:r>
      <w:r>
        <w:t xml:space="preserve">, Congressional Research Service Report R45653, March 27, 2019, p. 9 (on the 2012 citation of Attorney General Holder,</w:t>
      </w:r>
      <w:r>
        <w:t xml:space="preserve"> </w:t>
      </w:r>
      <w:r>
        <w:t xml:space="preserve">“</w:t>
      </w:r>
      <w:r>
        <w:t xml:space="preserve">The DOJ shortly thereafter informed the Speaker that it would not take any action on the criminal contempt citation</w:t>
      </w:r>
      <w:r>
        <w:t xml:space="preserve">”</w:t>
      </w:r>
      <w:r>
        <w:t xml:space="preserve">).</w:t>
      </w:r>
      <w:r>
        <w:t xml:space="preserve"> </w:t>
      </w:r>
      <w:r>
        <w:rPr>
          <w:iCs/>
          <w:i/>
        </w:rPr>
        <w:t xml:space="preserve">United States v. Navarro</w:t>
      </w:r>
      <w:r>
        <w:t xml:space="preserve">, No. 24-3006 (D.C. Cir. July 21, 2026), https://media.cadc.uscourts.gov/opinions/docs/2026/07/24-3006-2184223.pdf, slip op. at 2 (</w:t>
      </w:r>
      <w:r>
        <w:t xml:space="preserve">“</w:t>
      </w:r>
      <w:r>
        <w:t xml:space="preserve">the district court concluded that no such invocation of privilege had occurred</w:t>
      </w:r>
      <w:r>
        <w:t xml:space="preserve">”</w:t>
      </w:r>
      <w:r>
        <w:t xml:space="preserve">), 14–15 (after a change of administration</w:t>
      </w:r>
      <w:r>
        <w:t xml:space="preserve"> </w:t>
      </w:r>
      <w:r>
        <w:t xml:space="preserve">“</w:t>
      </w:r>
      <w:r>
        <w:t xml:space="preserve">the government is deemed to have withdrawn from any further participation in this appeal</w:t>
      </w:r>
      <w:r>
        <w:t xml:space="preserve">”</w:t>
      </w:r>
      <w:r>
        <w:t xml:space="preserve">), and 37 (</w:t>
      </w:r>
      <w:r>
        <w:t xml:space="preserve">“</w:t>
      </w:r>
      <w:r>
        <w:t xml:space="preserve">we affirm the district court’s judgment</w:t>
      </w:r>
      <w:r>
        <w:t xml:space="preserve">”</w:t>
      </w:r>
      <w:r>
        <w:t xml:space="preserve">). Independent-counsel statute: enacted in the Ethics in Government Act of 1978 and lapsed in December 1992 (PBS</w:t>
      </w:r>
      <w:r>
        <w:t xml:space="preserve"> </w:t>
      </w:r>
      <w:r>
        <w:rPr>
          <w:iCs/>
          <w:i/>
        </w:rPr>
        <w:t xml:space="preserve">Frontline</w:t>
      </w:r>
      <w:r>
        <w:t xml:space="preserve">,</w:t>
      </w:r>
      <w:r>
        <w:t xml:space="preserve"> </w:t>
      </w:r>
      <w:r>
        <w:t xml:space="preserve">“</w:t>
      </w:r>
      <w:r>
        <w:t xml:space="preserve">A Brief History of the Independent Counsel Law,</w:t>
      </w:r>
      <w:r>
        <w:t xml:space="preserve">”</w:t>
      </w:r>
      <w:r>
        <w:t xml:space="preserve"> </w:t>
      </w:r>
      <w:r>
        <w:t xml:space="preserve">May 1998); reauthorized</w:t>
      </w:r>
      <w:r>
        <w:t xml:space="preserve"> </w:t>
      </w:r>
      <w:r>
        <w:t xml:space="preserve">“</w:t>
      </w:r>
      <w:r>
        <w:t xml:space="preserve">for an additional 5 years</w:t>
      </w:r>
      <w:r>
        <w:t xml:space="preserve">”</w:t>
      </w:r>
      <w:r>
        <w:t xml:space="preserve"> </w:t>
      </w:r>
      <w:r>
        <w:t xml:space="preserve">by the Independent Counsel Reauthorization Act of 1994, Pub. L. No. 103-270, 108 Stat. 732 (approved June 30, 1994), it expired June 30, 1999. Inherent contempt:</w:t>
      </w:r>
      <w:r>
        <w:t xml:space="preserve"> </w:t>
      </w:r>
      <w:r>
        <w:rPr>
          <w:iCs/>
          <w:i/>
        </w:rPr>
        <w:t xml:space="preserve">Anderson v. Dunn</w:t>
      </w:r>
      <w:r>
        <w:t xml:space="preserve">, 19 U.S. (6 Wheat.) 204 (1821);</w:t>
      </w:r>
      <w:r>
        <w:t xml:space="preserve"> </w:t>
      </w:r>
      <w:r>
        <w:rPr>
          <w:iCs/>
          <w:i/>
        </w:rPr>
        <w:t xml:space="preserve">McGrain v. Daugherty</w:t>
      </w:r>
      <w:r>
        <w:t xml:space="preserve">, 273 U.S. 135 (1927);</w:t>
      </w:r>
      <w:r>
        <w:t xml:space="preserve"> </w:t>
      </w:r>
      <w:r>
        <w:rPr>
          <w:iCs/>
          <w:i/>
        </w:rPr>
        <w:t xml:space="preserve">Jurney v. MacCracken</w:t>
      </w:r>
      <w:r>
        <w:t xml:space="preserve">, 294 U.S. 125 (1935); Garvey, CRS Report R45653, p. 16 (it</w:t>
      </w:r>
      <w:r>
        <w:t xml:space="preserve"> </w:t>
      </w:r>
      <w:r>
        <w:t xml:space="preserve">“</w:t>
      </w:r>
      <w:r>
        <w:t xml:space="preserve">does not appear that either house has exercised its inherent contempt power to enforce subpoenas … since the 1930s</w:t>
      </w:r>
      <w:r>
        <w:t xml:space="preserve">”</w:t>
      </w:r>
      <w:r>
        <w:t xml:space="preserve">). Civil enforcement: 28 U.S.C. § 1365(a) (the section</w:t>
      </w:r>
      <w:r>
        <w:t xml:space="preserve"> </w:t>
      </w:r>
      <w:r>
        <w:t xml:space="preserve">“</w:t>
      </w:r>
      <w:r>
        <w:t xml:space="preserve">shall not apply</w:t>
      </w:r>
      <w:r>
        <w:t xml:space="preserve">”</w:t>
      </w:r>
      <w:r>
        <w:t xml:space="preserve"> </w:t>
      </w:r>
      <w:r>
        <w:t xml:space="preserve">to a subpoena to an executive officer or employee acting in an official capacity, unless the refusal rests on</w:t>
      </w:r>
      <w:r>
        <w:t xml:space="preserve"> </w:t>
      </w:r>
      <w:r>
        <w:t xml:space="preserve">“</w:t>
      </w:r>
      <w:r>
        <w:t xml:space="preserve">a personal privilege or objection</w:t>
      </w:r>
      <w:r>
        <w:t xml:space="preserve">”</w:t>
      </w:r>
      <w:r>
        <w:t xml:space="preserve">);</w:t>
      </w:r>
      <w:r>
        <w:t xml:space="preserve"> </w:t>
      </w:r>
      <w:r>
        <w:rPr>
          <w:iCs/>
          <w:i/>
        </w:rPr>
        <w:t xml:space="preserve">Committee on the Judiciary v. Miers</w:t>
      </w:r>
      <w:r>
        <w:t xml:space="preserve">, 558 F. Supp. 2d 53 (D.D.C. 2008);</w:t>
      </w:r>
      <w:r>
        <w:t xml:space="preserve"> </w:t>
      </w:r>
      <w:r>
        <w:rPr>
          <w:iCs/>
          <w:i/>
        </w:rPr>
        <w:t xml:space="preserve">Committee on Oversight and Government Reform v. Holder</w:t>
      </w:r>
      <w:r>
        <w:t xml:space="preserve">, 979 F. Supp. 2d 1 (D.D.C. 2013) (</w:t>
      </w:r>
      <w:r>
        <w:t xml:space="preserve">“</w:t>
      </w:r>
      <w:r>
        <w:t xml:space="preserve">The motion to dismiss will be denied</w:t>
      </w:r>
      <w:r>
        <w:t xml:space="preserve">”</w:t>
      </w:r>
      <w:r>
        <w:t xml:space="preserve">);</w:t>
      </w:r>
      <w:r>
        <w:t xml:space="preserve"> </w:t>
      </w:r>
      <w:r>
        <w:rPr>
          <w:iCs/>
          <w:i/>
        </w:rPr>
        <w:t xml:space="preserve">Committee on Oversight and Government Reform v. Lynch</w:t>
      </w:r>
      <w:r>
        <w:t xml:space="preserve">, 156 F. Supp. 3d 101, 115 (D.D.C. 2016) (the qualified privilege</w:t>
      </w:r>
      <w:r>
        <w:t xml:space="preserve"> </w:t>
      </w:r>
      <w:r>
        <w:t xml:space="preserve">“</w:t>
      </w:r>
      <w:r>
        <w:t xml:space="preserve">invoked to shield material that the Department has already disclosed</w:t>
      </w:r>
      <w:r>
        <w:t xml:space="preserve">”</w:t>
      </w:r>
      <w:r>
        <w:t xml:space="preserve"> </w:t>
      </w:r>
      <w:r>
        <w:t xml:space="preserve">outweighed, and</w:t>
      </w:r>
      <w:r>
        <w:t xml:space="preserve"> </w:t>
      </w:r>
      <w:r>
        <w:t xml:space="preserve">“</w:t>
      </w:r>
      <w:r>
        <w:t xml:space="preserve">the records must be produced</w:t>
      </w:r>
      <w:r>
        <w:t xml:space="preserve">”</w:t>
      </w:r>
      <w:r>
        <w:t xml:space="preserve">); D.C. Cir. No. 16-5078, joint report of April 2, 2019 (</w:t>
      </w:r>
      <w:r>
        <w:t xml:space="preserve">“</w:t>
      </w:r>
      <w:r>
        <w:t xml:space="preserve">abeyance status is settlement proceedings ongoing</w:t>
      </w:r>
      <w:r>
        <w:t xml:space="preserve">”</w:t>
      </w:r>
      <w:r>
        <w:t xml:space="preserve">) and clerk’s order of May 14, 2019 (</w:t>
      </w:r>
      <w:r>
        <w:t xml:space="preserve">“</w:t>
      </w:r>
      <w:r>
        <w:t xml:space="preserve">granting motion to dismiss case voluntarily</w:t>
      </w:r>
      <w:r>
        <w:t xml:space="preserve">”</w:t>
      </w:r>
      <w:r>
        <w:t xml:space="preserve">);</w:t>
      </w:r>
      <w:r>
        <w:t xml:space="preserve"> </w:t>
      </w:r>
      <w:r>
        <w:rPr>
          <w:iCs/>
          <w:i/>
        </w:rPr>
        <w:t xml:space="preserve">Committee on Oversight and Government Reform v. Sessions</w:t>
      </w:r>
      <w:r>
        <w:t xml:space="preserve">, No. 12-cv-1332 (D.D.C. October 22, 2018) (memorandum opinion and order), 2 (the parties’ settlement was effective only on vacatur of the 2014 and 2016 orders, and</w:t>
      </w:r>
      <w:r>
        <w:t xml:space="preserve"> </w:t>
      </w:r>
      <w:r>
        <w:t xml:space="preserve">“</w:t>
      </w:r>
      <w:r>
        <w:t xml:space="preserve">the Court will deny the parties’ motion</w:t>
      </w:r>
      <w:r>
        <w:t xml:space="preserve">”</w:t>
      </w:r>
      <w:r>
        <w:t xml:space="preserve">) and 8 (quoting the Department’s appellate brief:</w:t>
      </w:r>
      <w:r>
        <w:t xml:space="preserve"> </w:t>
      </w:r>
      <w:r>
        <w:t xml:space="preserve">“</w:t>
      </w:r>
      <w:r>
        <w:t xml:space="preserve">the Department has complied in full</w:t>
      </w:r>
      <w:r>
        <w:t xml:space="preserve">”</w:t>
      </w:r>
      <w:r>
        <w:t xml:space="preserve">);</w:t>
      </w:r>
      <w:r>
        <w:t xml:space="preserve"> </w:t>
      </w:r>
      <w:r>
        <w:rPr>
          <w:iCs/>
          <w:i/>
        </w:rPr>
        <w:t xml:space="preserve">Committee on the Judiciary v. Garland</w:t>
      </w:r>
      <w:r>
        <w:t xml:space="preserve">, No. 1:24-cv-01911 (D.D.C.), complaint of July 1, 2024, minute entry of October 28, 2024 (cross-motions argued and</w:t>
      </w:r>
      <w:r>
        <w:t xml:space="preserve"> </w:t>
      </w:r>
      <w:r>
        <w:t xml:space="preserve">“</w:t>
      </w:r>
      <w:r>
        <w:t xml:space="preserve">taken under advisement</w:t>
      </w:r>
      <w:r>
        <w:t xml:space="preserve">”</w:t>
      </w:r>
      <w:r>
        <w:t xml:space="preserve">), minute order of January 27, 2025 (case stayed), minute order of May 19, 2025 (</w:t>
      </w:r>
      <w:r>
        <w:t xml:space="preserve">“</w:t>
      </w:r>
      <w:r>
        <w:t xml:space="preserve">In light of the public release of the audio recording at issue in this case, the parties must show cause by May 21, 2025 as to why the case should not be dismissed as moot</w:t>
      </w:r>
      <w:r>
        <w:t xml:space="preserve">”</w:t>
      </w:r>
      <w:r>
        <w:t xml:space="preserve">), and stipulation of dismissal, ECF 31, May 21, 2025; 2 U.S.C. §§ 288b(b) (Senate Legal Counsel sues</w:t>
      </w:r>
      <w:r>
        <w:t xml:space="preserve"> </w:t>
      </w:r>
      <w:r>
        <w:t xml:space="preserve">“</w:t>
      </w:r>
      <w:r>
        <w:t xml:space="preserve">only when directed to do so by the adoption of a resolution by the Senate</w:t>
      </w:r>
      <w:r>
        <w:t xml:space="preserve">”</w:t>
      </w:r>
      <w:r>
        <w:t xml:space="preserve">) and 288d(a) (suit</w:t>
      </w:r>
      <w:r>
        <w:t xml:space="preserve"> </w:t>
      </w:r>
      <w:r>
        <w:t xml:space="preserve">“</w:t>
      </w:r>
      <w:r>
        <w:t xml:space="preserve">under any statute conferring jurisdiction on any court of the United States (including section 1365 of title 28)</w:t>
      </w:r>
      <w:r>
        <w:t xml:space="preserve">”</w:t>
      </w:r>
      <w:r>
        <w:t xml:space="preserve">);</w:t>
      </w:r>
      <w:r>
        <w:t xml:space="preserve"> </w:t>
      </w:r>
      <w:r>
        <w:rPr>
          <w:iCs/>
          <w:i/>
        </w:rPr>
        <w:t xml:space="preserve">Committee on the Judiciary v. McGahn</w:t>
      </w:r>
      <w:r>
        <w:t xml:space="preserve">, 968 F.3d 755 (D.C. Cir. 2020) (en banc) (standing);</w:t>
      </w:r>
      <w:r>
        <w:t xml:space="preserve"> </w:t>
      </w:r>
      <w:r>
        <w:rPr>
          <w:iCs/>
          <w:i/>
        </w:rPr>
        <w:t xml:space="preserve">Committee on the Judiciary v. McGahn</w:t>
      </w:r>
      <w:r>
        <w:t xml:space="preserve">, 973 F.3d 121 (D.C. Cir. 2020) (no cause of action), judgment vacated on the grant of rehearing en banc (order of October 15, 2020).</w:t>
      </w:r>
      <w:r>
        <w:t xml:space="preserve"> </w:t>
      </w:r>
      <w:r>
        <w:rPr>
          <w:iCs/>
          <w:i/>
        </w:rPr>
        <w:t xml:space="preserve">Black v. House Committee on Oversight and Government Reform</w:t>
      </w:r>
      <w:r>
        <w:t xml:space="preserve">, No. 1:26-cv-03084 (D.D.C. filed September 3, 2026), complaint ¶ 84 (</w:t>
      </w:r>
      <w:r>
        <w:t xml:space="preserve">“</w:t>
      </w:r>
      <w:r>
        <w:t xml:space="preserve">Congress has not authorized House committees to bring civil actions to enforce subpoenas against private citizens</w:t>
      </w:r>
      <w:r>
        <w:t xml:space="preserve">”</w:t>
      </w:r>
      <w:r>
        <w:t xml:space="preserve">) and prayer for relief (a) (a declaration that the Committee</w:t>
      </w:r>
      <w:r>
        <w:t xml:space="preserve"> </w:t>
      </w:r>
      <w:r>
        <w:t xml:space="preserve">“</w:t>
      </w:r>
      <w:r>
        <w:t xml:space="preserve">lacks any statutory, constitutional, equitable, or implied cause of action to enforce the Document Subpoena or Deposition Subpoena against Mr. Black in federal court</w:t>
      </w:r>
      <w:r>
        <w:t xml:space="preserve">”</w:t>
      </w:r>
      <w:r>
        <w:t xml:space="preserve">); the docket shows no ruling (last filing September 9, 2026).</w:t>
      </w:r>
    </w:p>
  </w:footnote>
  <w:footnote w:id="48">
    <w:p>
      <w:pPr>
        <w:pStyle w:val="FootnoteText"/>
      </w:pPr>
      <w:r>
        <w:rPr>
          <w:rStyle w:val="FootnoteReference"/>
        </w:rPr>
        <w:footnoteRef/>
      </w:r>
      <w:r>
        <w:t xml:space="preserve"> </w:t>
      </w:r>
      <w:r>
        <w:t xml:space="preserve">Cumming,</w:t>
      </w:r>
      <w:r>
        <w:t xml:space="preserve"> </w:t>
      </w:r>
      <w:r>
        <w:rPr>
          <w:iCs/>
          <w:i/>
        </w:rPr>
        <w:t xml:space="preserve">Congress as a Consumer</w:t>
      </w:r>
      <w:r>
        <w:t xml:space="preserve">, summary and pp. 1–2 (executive control over intelligence flow); Executive Order 13526 §§ 1.3 and 3.1–3.3 (executive classification and declassification authority), 3 C.F.R. 298 (2010 Comp.), https://www.govinfo.gov/content/pkg/CFR-2010-title3-vol1/pdf/CFR-2010-title3-vol1-eo13526.pdf.</w:t>
      </w:r>
    </w:p>
  </w:footnote>
  <w:footnote w:id="49">
    <w:p>
      <w:pPr>
        <w:pStyle w:val="FootnoteText"/>
      </w:pPr>
      <w:r>
        <w:rPr>
          <w:rStyle w:val="FootnoteReference"/>
        </w:rPr>
        <w:footnoteRef/>
      </w:r>
      <w:r>
        <w:t xml:space="preserve"> </w:t>
      </w:r>
      <w:r>
        <w:t xml:space="preserve">Domains with strong external accountability structures (organized professional communities; mandatory disclosure frameworks with structurally independent enforcement; domains in which the executive does not control operational architecture) fall outside our framework’s primary scope. The paper does not test our framework against these domains; cross-domain extension is identified as a future-research direction.</w:t>
      </w:r>
    </w:p>
  </w:footnote>
  <w:footnote w:id="50">
    <w:p>
      <w:pPr>
        <w:pStyle w:val="FootnoteText"/>
      </w:pPr>
      <w:r>
        <w:rPr>
          <w:rStyle w:val="FootnoteReference"/>
        </w:rPr>
        <w:footnoteRef/>
      </w:r>
      <w:r>
        <w:t xml:space="preserve"> </w:t>
      </w:r>
      <w:r>
        <w:t xml:space="preserve">McCubbins and Schwartz consider the objection that fire-alarm oversight is biased and reply that</w:t>
      </w:r>
      <w:r>
        <w:t xml:space="preserve"> </w:t>
      </w:r>
      <w:r>
        <w:t xml:space="preserve">“</w:t>
      </w:r>
      <w:r>
        <w:t xml:space="preserve">if the point is merely that fire-alarm oversight can be biased in various ways, then the same is true of police-patrol oversight</w:t>
      </w:r>
      <w:r>
        <w:t xml:space="preserve">”</w:t>
      </w:r>
      <w:r>
        <w:t xml:space="preserve"> </w:t>
      </w:r>
      <w:r>
        <w:t xml:space="preserve">(McCubbins and Schwartz,</w:t>
      </w:r>
      <w:r>
        <w:t xml:space="preserve"> </w:t>
      </w:r>
      <w:r>
        <w:t xml:space="preserve">“</w:t>
      </w:r>
      <w:r>
        <w:t xml:space="preserve">Congressional Oversight Overlooked,</w:t>
      </w:r>
      <w:r>
        <w:t xml:space="preserve">”</w:t>
      </w:r>
      <w:r>
        <w:t xml:space="preserve"> </w:t>
      </w:r>
      <w:r>
        <w:t xml:space="preserve">172). The extension to classified domains is Zegart’s (</w:t>
      </w:r>
      <w:r>
        <w:t xml:space="preserve">“</w:t>
      </w:r>
      <w:r>
        <w:t xml:space="preserve">Domestic Politics,</w:t>
      </w:r>
      <w:r>
        <w:t xml:space="preserve">”</w:t>
      </w:r>
      <w:r>
        <w:t xml:space="preserve"> </w:t>
      </w:r>
      <w:r>
        <w:t xml:space="preserve">7–8 and n. 30); this paper applies it.</w:t>
      </w:r>
    </w:p>
  </w:footnote>
  <w:footnote w:id="51">
    <w:p>
      <w:pPr>
        <w:pStyle w:val="FootnoteText"/>
      </w:pPr>
      <w:r>
        <w:rPr>
          <w:rStyle w:val="FootnoteReference"/>
        </w:rPr>
        <w:footnoteRef/>
      </w:r>
      <w:r>
        <w:t xml:space="preserve"> </w:t>
      </w:r>
      <w:r>
        <w:t xml:space="preserve">Lawrence E. Walsh,</w:t>
      </w:r>
      <w:r>
        <w:t xml:space="preserve"> </w:t>
      </w:r>
      <w:r>
        <w:rPr>
          <w:iCs/>
          <w:i/>
        </w:rPr>
        <w:t xml:space="preserve">Final Report of the Independent Counsel for Iran/Contra Matters</w:t>
      </w:r>
      <w:r>
        <w:t xml:space="preserve">, vol. 1 (Washington: U.S. Government Printing Office, 1993), Executive Summary p. xxi.</w:t>
      </w:r>
    </w:p>
  </w:footnote>
  <w:footnote w:id="52">
    <w:p>
      <w:pPr>
        <w:pStyle w:val="FootnoteText"/>
      </w:pPr>
      <w:r>
        <w:rPr>
          <w:rStyle w:val="FootnoteReference"/>
        </w:rPr>
        <w:footnoteRef/>
      </w:r>
      <w:r>
        <w:t xml:space="preserve"> </w:t>
      </w:r>
      <w:r>
        <w:t xml:space="preserve">Zegart,</w:t>
      </w:r>
      <w:r>
        <w:t xml:space="preserve"> </w:t>
      </w:r>
      <w:r>
        <w:rPr>
          <w:iCs/>
          <w:i/>
        </w:rPr>
        <w:t xml:space="preserve">Spies, Lies, and Algorithms</w:t>
      </w:r>
      <w:r>
        <w:t xml:space="preserve">, 216:</w:t>
      </w:r>
      <w:r>
        <w:t xml:space="preserve"> </w:t>
      </w:r>
      <w:r>
        <w:t xml:space="preserve">“</w:t>
      </w:r>
      <w:r>
        <w:t xml:space="preserve">Of the 535 members serving in the 116th Congress, only eighteen ever worked in an intelligence agency.</w:t>
      </w:r>
      <w:r>
        <w:t xml:space="preserve">”</w:t>
      </w:r>
    </w:p>
  </w:footnote>
  <w:footnote w:id="53">
    <w:p>
      <w:pPr>
        <w:pStyle w:val="FootnoteText"/>
      </w:pPr>
      <w:r>
        <w:rPr>
          <w:rStyle w:val="FootnoteReference"/>
        </w:rPr>
        <w:footnoteRef/>
      </w:r>
      <w:r>
        <w:t xml:space="preserve"> </w:t>
      </w:r>
      <w:r>
        <w:t xml:space="preserve">Scope is assigned from executive custody and institutional constraints before the outcome. Later successful access does not remove a case from scope. The four historical episodes were used to develop the eight process indicators, and the Pike and Church profiles are separated in Appendix B; the number of marks in a column is a description, not a test, and no cutoff decides inclusion. Accountability, policy, institutions, and access remain separate outcomes.</w:t>
      </w:r>
    </w:p>
  </w:footnote>
  <w:footnote w:id="54">
    <w:p>
      <w:pPr>
        <w:pStyle w:val="FootnoteText"/>
      </w:pPr>
      <w:r>
        <w:rPr>
          <w:rStyle w:val="FootnoteReference"/>
        </w:rPr>
        <w:footnoteRef/>
      </w:r>
      <w:r>
        <w:t xml:space="preserve"> </w:t>
      </w:r>
      <w:r>
        <w:t xml:space="preserve">On leaks as a channel the executive condemns in principle and tolerates in practice, see David E. Pozen,</w:t>
      </w:r>
      <w:r>
        <w:t xml:space="preserve"> </w:t>
      </w:r>
      <w:r>
        <w:t xml:space="preserve">“</w:t>
      </w:r>
      <w:r>
        <w:t xml:space="preserve">The Leaky Leviathan: Why the Government Condemns and Condones Unlawful Disclosures of Information,</w:t>
      </w:r>
      <w:r>
        <w:t xml:space="preserve">”</w:t>
      </w:r>
      <w:r>
        <w:t xml:space="preserve"> </w:t>
      </w:r>
      <w:r>
        <w:rPr>
          <w:iCs/>
          <w:i/>
        </w:rPr>
        <w:t xml:space="preserve">Harvard Law Review</w:t>
      </w:r>
      <w:r>
        <w:t xml:space="preserve"> </w:t>
      </w:r>
      <w:r>
        <w:t xml:space="preserve">127 (2013): 512–635, at 513 (</w:t>
      </w:r>
      <w:r>
        <w:t xml:space="preserve">“</w:t>
      </w:r>
      <w:r>
        <w:t xml:space="preserve">There is a dramatic disconnect between the way our laws and our leaders condemn leaking in the abstract and the way they condone it in practice</w:t>
      </w:r>
      <w:r>
        <w:t xml:space="preserve">”</w:t>
      </w:r>
      <w:r>
        <w:t xml:space="preserve">).</w:t>
      </w:r>
    </w:p>
  </w:footnote>
  <w:footnote w:id="55">
    <w:p>
      <w:pPr>
        <w:pStyle w:val="FootnoteText"/>
      </w:pPr>
      <w:r>
        <w:rPr>
          <w:rStyle w:val="FootnoteReference"/>
        </w:rPr>
        <w:footnoteRef/>
      </w:r>
      <w:r>
        <w:t xml:space="preserve"> </w:t>
      </w:r>
      <w:r>
        <w:t xml:space="preserve">SSCI,</w:t>
      </w:r>
      <w:r>
        <w:t xml:space="preserve"> </w:t>
      </w:r>
      <w:r>
        <w:rPr>
          <w:iCs/>
          <w:i/>
        </w:rPr>
        <w:t xml:space="preserve">Committee Study</w:t>
      </w:r>
      <w:r>
        <w:t xml:space="preserve">, S. Rep. No. 113-288: Foreword, pp. 1 (the April 3, 2014 vote; the full study</w:t>
      </w:r>
      <w:r>
        <w:t xml:space="preserve"> </w:t>
      </w:r>
      <w:r>
        <w:t xml:space="preserve">“</w:t>
      </w:r>
      <w:r>
        <w:t xml:space="preserve">totals more than 6,700 pages, remains classified</w:t>
      </w:r>
      <w:r>
        <w:t xml:space="preserve">”</w:t>
      </w:r>
      <w:r>
        <w:t xml:space="preserve">), 4 (the Department of Justice investigation</w:t>
      </w:r>
      <w:r>
        <w:t xml:space="preserve"> </w:t>
      </w:r>
      <w:r>
        <w:t xml:space="preserve">“</w:t>
      </w:r>
      <w:r>
        <w:t xml:space="preserve">expanded by Attorney General Holder in August 2009,</w:t>
      </w:r>
      <w:r>
        <w:t xml:space="preserve">”</w:t>
      </w:r>
      <w:r>
        <w:t xml:space="preserve"> </w:t>
      </w:r>
      <w:r>
        <w:t xml:space="preserve">which kept CIA employees and contractors from appearing before committee staff), and 5 (staff</w:t>
      </w:r>
      <w:r>
        <w:t xml:space="preserve"> </w:t>
      </w:r>
      <w:r>
        <w:t xml:space="preserve">“</w:t>
      </w:r>
      <w:r>
        <w:t xml:space="preserve">reviewed the more than six million pages of CIA materials</w:t>
      </w:r>
      <w:r>
        <w:t xml:space="preserve">”</w:t>
      </w:r>
      <w:r>
        <w:t xml:space="preserve"> </w:t>
      </w:r>
      <w:r>
        <w:t xml:space="preserve">from early 2009 to late 2012); Findings and Conclusions, pp. 5–6 (the CIA</w:t>
      </w:r>
      <w:r>
        <w:t xml:space="preserve"> </w:t>
      </w:r>
      <w:r>
        <w:t xml:space="preserve">“</w:t>
      </w:r>
      <w:r>
        <w:t xml:space="preserve">resisted efforts by Vice Chairman John D. Rockefeller IV, to investigate the program, including by refusing in 2006 to provide requested documents to the full Committee</w:t>
      </w:r>
      <w:r>
        <w:t xml:space="preserve">”</w:t>
      </w:r>
      <w:r>
        <w:t xml:space="preserve">) and 6 (the CIA restricted access beyond the chairman and vice chairman</w:t>
      </w:r>
      <w:r>
        <w:t xml:space="preserve"> </w:t>
      </w:r>
      <w:r>
        <w:t xml:space="preserve">“</w:t>
      </w:r>
      <w:r>
        <w:t xml:space="preserve">until September 6, 2006, the day the president publicly acknowledged the program, by which time 117 of the 119 known detainees had already entered CIA custody</w:t>
      </w:r>
      <w:r>
        <w:t xml:space="preserve">”</w:t>
      </w:r>
      <w:r>
        <w:t xml:space="preserve">); Executive Summary, p. 8 (review begun December 11, 2007 after a briefing that day; Terms of Reference approved March 5, 2009</w:t>
      </w:r>
      <w:r>
        <w:t xml:space="preserve"> </w:t>
      </w:r>
      <w:r>
        <w:t xml:space="preserve">“</w:t>
      </w:r>
      <w:r>
        <w:t xml:space="preserve">in a vote of 14 to 1</w:t>
      </w:r>
      <w:r>
        <w:t xml:space="preserve">”</w:t>
      </w:r>
      <w:r>
        <w:t xml:space="preserve">; a report</w:t>
      </w:r>
      <w:r>
        <w:t xml:space="preserve"> </w:t>
      </w:r>
      <w:r>
        <w:t xml:space="preserve">“</w:t>
      </w:r>
      <w:r>
        <w:t xml:space="preserve">exceeding 6,700 pages, including approximately 38,000 footnotes</w:t>
      </w:r>
      <w:r>
        <w:t xml:space="preserve">”</w:t>
      </w:r>
      <w:r>
        <w:t xml:space="preserve">; approval on December 13, 2012</w:t>
      </w:r>
      <w:r>
        <w:t xml:space="preserve"> </w:t>
      </w:r>
      <w:r>
        <w:t xml:space="preserve">“</w:t>
      </w:r>
      <w:r>
        <w:t xml:space="preserve">by a bipartisan vote of 9-6</w:t>
      </w:r>
      <w:r>
        <w:t xml:space="preserve">”</w:t>
      </w:r>
      <w:r>
        <w:t xml:space="preserve">), p. 9 n. (approximately 9,400 CIA documents withheld by the White House pending an executive-privilege determination, requested in writing on January 3, May 22, and December 19, 2013), and p. 225 (</w:t>
      </w:r>
      <w:r>
        <w:t xml:space="preserve">“</w:t>
      </w:r>
      <w:r>
        <w:t xml:space="preserve">The White House did not respond to the requests</w:t>
      </w:r>
      <w:r>
        <w:t xml:space="preserve">”</w:t>
      </w:r>
      <w:r>
        <w:t xml:space="preserve">). The Executive Summary runs to 499 pages; with the Foreword and the Findings and Conclusions the released document is 525 pages. It was released December 9, 2014.</w:t>
      </w:r>
      <w:r>
        <w:t xml:space="preserve"> </w:t>
      </w:r>
      <w:r>
        <w:rPr>
          <w:iCs/>
          <w:i/>
        </w:rPr>
        <w:t xml:space="preserve">American Civil Liberties Union v. Central Intelligence Agency</w:t>
      </w:r>
      <w:r>
        <w:t xml:space="preserve">, 823 F.3d 655 (D.C. Cir. 2016), affirmed dismissal of a Freedom of Information Act suit for the full report on the ground that it remained a congressional record.</w:t>
      </w:r>
    </w:p>
  </w:footnote>
  <w:footnote w:id="56">
    <w:p>
      <w:pPr>
        <w:pStyle w:val="FootnoteText"/>
      </w:pPr>
      <w:r>
        <w:rPr>
          <w:rStyle w:val="FootnoteReference"/>
        </w:rPr>
        <w:footnoteRef/>
      </w:r>
      <w:r>
        <w:t xml:space="preserve"> </w:t>
      </w:r>
      <w:r>
        <w:rPr>
          <w:iCs/>
          <w:i/>
        </w:rPr>
        <w:t xml:space="preserve">United States v. Nixon</w:t>
      </w:r>
      <w:r>
        <w:t xml:space="preserve">, 418 U.S. 683 (1974) (decided July 24, 1974): 688 (the Rule 17(c) subpoena of April 18, 1974; on April 30</w:t>
      </w:r>
      <w:r>
        <w:t xml:space="preserve"> </w:t>
      </w:r>
      <w:r>
        <w:t xml:space="preserve">“</w:t>
      </w:r>
      <w:r>
        <w:t xml:space="preserve">the President publicly released edited transcripts of 43 conversations; portions of 20 conversations subject to subpoena in the present case were included</w:t>
      </w:r>
      <w:r>
        <w:t xml:space="preserve">”</w:t>
      </w:r>
      <w:r>
        <w:t xml:space="preserve">), 694–95 n.8 and 695–96 (the Special Prosecutor regulation, 38 Fed. Reg. 30739, as amended by 38 Fed. Reg. 32805, under which he</w:t>
      </w:r>
      <w:r>
        <w:t xml:space="preserve"> </w:t>
      </w:r>
      <w:r>
        <w:t xml:space="preserve">“</w:t>
      </w:r>
      <w:r>
        <w:t xml:space="preserve">will not be removed from his duties except for extraordinary improprieties on his part</w:t>
      </w:r>
      <w:r>
        <w:t xml:space="preserve">”</w:t>
      </w:r>
      <w:r>
        <w:t xml:space="preserve">;</w:t>
      </w:r>
      <w:r>
        <w:t xml:space="preserve"> </w:t>
      </w:r>
      <w:r>
        <w:t xml:space="preserve">“</w:t>
      </w:r>
      <w:r>
        <w:t xml:space="preserve">So long as this regulation is extant it has the force of law,</w:t>
      </w:r>
      <w:r>
        <w:t xml:space="preserve">”</w:t>
      </w:r>
      <w:r>
        <w:t xml:space="preserve"> </w:t>
      </w:r>
      <w:r>
        <w:t xml:space="preserve">though</w:t>
      </w:r>
      <w:r>
        <w:t xml:space="preserve"> </w:t>
      </w:r>
      <w:r>
        <w:t xml:space="preserve">“</w:t>
      </w:r>
      <w:r>
        <w:t xml:space="preserve">it is theoretically possible for the Attorney General to amend or revoke the regulation</w:t>
      </w:r>
      <w:r>
        <w:t xml:space="preserve">”</w:t>
      </w:r>
      <w:r>
        <w:t xml:space="preserve">), 703 (quoting</w:t>
      </w:r>
      <w:r>
        <w:t xml:space="preserve"> </w:t>
      </w:r>
      <w:r>
        <w:rPr>
          <w:iCs/>
          <w:i/>
        </w:rPr>
        <w:t xml:space="preserve">Marbury v. Madison</w:t>
      </w:r>
      <w:r>
        <w:t xml:space="preserve"> </w:t>
      </w:r>
      <w:r>
        <w:t xml:space="preserve">that</w:t>
      </w:r>
      <w:r>
        <w:t xml:space="preserve"> </w:t>
      </w:r>
      <w:r>
        <w:t xml:space="preserve">“</w:t>
      </w:r>
      <w:r>
        <w:t xml:space="preserve">it is emphatically the province and duty of the judicial department to say what the law is</w:t>
      </w:r>
      <w:r>
        <w:t xml:space="preserve">”</w:t>
      </w:r>
      <w:r>
        <w:t xml:space="preserve">), 706 (</w:t>
      </w:r>
      <w:r>
        <w:t xml:space="preserve">“</w:t>
      </w:r>
      <w:r>
        <w:t xml:space="preserve">Absent a claim of need to protect military, diplomatic, or sensitive national security secrets</w:t>
      </w:r>
      <w:r>
        <w:t xml:space="preserve">”</w:t>
      </w:r>
      <w:r>
        <w:t xml:space="preserve">), 708 (</w:t>
      </w:r>
      <w:r>
        <w:t xml:space="preserve">“</w:t>
      </w:r>
      <w:r>
        <w:t xml:space="preserve">a presumptive privilege for Presidential communications</w:t>
      </w:r>
      <w:r>
        <w:t xml:space="preserve">”</w:t>
      </w:r>
      <w:r>
        <w:t xml:space="preserve">), 710 (the President</w:t>
      </w:r>
      <w:r>
        <w:t xml:space="preserve"> </w:t>
      </w:r>
      <w:r>
        <w:t xml:space="preserve">“</w:t>
      </w:r>
      <w:r>
        <w:t xml:space="preserve">does not place his claim of privilege on the ground they are military or diplomatic secrets</w:t>
      </w:r>
      <w:r>
        <w:t xml:space="preserve">”</w:t>
      </w:r>
      <w:r>
        <w:t xml:space="preserve">), 712 n.19 (</w:t>
      </w:r>
      <w:r>
        <w:t xml:space="preserve">“</w:t>
      </w:r>
      <w:r>
        <w:t xml:space="preserve">We are not here concerned with the balance between the President’s generalized interest in confidentiality and the need for relevant evidence in civil litigation, nor with that between the confidentiality interest and congressional demands for information, nor with the President’s interest in preserving state secrets</w:t>
      </w:r>
      <w:r>
        <w:t xml:space="preserve">”</w:t>
      </w:r>
      <w:r>
        <w:t xml:space="preserve">), and 713 (</w:t>
      </w:r>
      <w:r>
        <w:t xml:space="preserve">“</w:t>
      </w:r>
      <w:r>
        <w:t xml:space="preserve">The generalized assertion of privilege must yield to the demonstrated, specific need for evidence in a pending criminal trial</w:t>
      </w:r>
      <w:r>
        <w:t xml:space="preserve">”</w:t>
      </w:r>
      <w:r>
        <w:t xml:space="preserve">).</w:t>
      </w:r>
      <w:r>
        <w:t xml:space="preserve"> </w:t>
      </w:r>
      <w:r>
        <w:rPr>
          <w:iCs/>
          <w:i/>
        </w:rPr>
        <w:t xml:space="preserve">Senate Select Committee on Presidential Campaign Activities v. Nixon</w:t>
      </w:r>
      <w:r>
        <w:t xml:space="preserve">, 498 F.2d 725 (D.C. Cir. 1974) (decided May 23, 1974): 726–27 (Butterfield’s testimony of July 16, 1973; the committee</w:t>
      </w:r>
      <w:r>
        <w:t xml:space="preserve"> </w:t>
      </w:r>
      <w:r>
        <w:t xml:space="preserve">“</w:t>
      </w:r>
      <w:r>
        <w:t xml:space="preserve">attempted informally to obtain certain tapes</w:t>
      </w:r>
      <w:r>
        <w:t xml:space="preserve">”</w:t>
      </w:r>
      <w:r>
        <w:t xml:space="preserve">; the President’s letter of July 25, 1973 declining both subpoenas), 729–30 (the doctrines of</w:t>
      </w:r>
      <w:r>
        <w:t xml:space="preserve"> </w:t>
      </w:r>
      <w:r>
        <w:rPr>
          <w:iCs/>
          <w:i/>
        </w:rPr>
        <w:t xml:space="preserve">Nixon v. Sirica</w:t>
      </w:r>
      <w:r>
        <w:t xml:space="preserve"> </w:t>
      </w:r>
      <w:r>
        <w:t xml:space="preserve">“</w:t>
      </w:r>
      <w:r>
        <w:t xml:space="preserve">at least by analogy</w:t>
      </w:r>
      <w:r>
        <w:t xml:space="preserve">”</w:t>
      </w:r>
      <w:r>
        <w:t xml:space="preserve"> </w:t>
      </w:r>
      <w:r>
        <w:t xml:space="preserve">controlling; presidential conversations</w:t>
      </w:r>
      <w:r>
        <w:t xml:space="preserve"> </w:t>
      </w:r>
      <w:r>
        <w:t xml:space="preserve">“</w:t>
      </w:r>
      <w:r>
        <w:t xml:space="preserve">presumptively privileged</w:t>
      </w:r>
      <w:r>
        <w:t xml:space="preserve">”</w:t>
      </w:r>
      <w:r>
        <w:t xml:space="preserve">), 731 (the committee’s showing must be that the tapes are</w:t>
      </w:r>
      <w:r>
        <w:t xml:space="preserve"> </w:t>
      </w:r>
      <w:r>
        <w:t xml:space="preserve">“</w:t>
      </w:r>
      <w:r>
        <w:t xml:space="preserve">demonstrably critical to the responsible fulfillment of the Committee’s functions</w:t>
      </w:r>
      <w:r>
        <w:t xml:space="preserve">”</w:t>
      </w:r>
      <w:r>
        <w:t xml:space="preserve">), 732 (the Judiciary Committee</w:t>
      </w:r>
      <w:r>
        <w:t xml:space="preserve"> </w:t>
      </w:r>
      <w:r>
        <w:t xml:space="preserve">“</w:t>
      </w:r>
      <w:r>
        <w:t xml:space="preserve">now has in its possession copies of each of the tapes subpoenaed by the Select Committee,</w:t>
      </w:r>
      <w:r>
        <w:t xml:space="preserve">”</w:t>
      </w:r>
      <w:r>
        <w:t xml:space="preserve"> </w:t>
      </w:r>
      <w:r>
        <w:t xml:space="preserve">so the committee’s need is</w:t>
      </w:r>
      <w:r>
        <w:t xml:space="preserve"> </w:t>
      </w:r>
      <w:r>
        <w:t xml:space="preserve">“</w:t>
      </w:r>
      <w:r>
        <w:t xml:space="preserve">merely cumulative</w:t>
      </w:r>
      <w:r>
        <w:t xml:space="preserve">”</w:t>
      </w:r>
      <w:r>
        <w:t xml:space="preserve">), and 733 (the need is</w:t>
      </w:r>
      <w:r>
        <w:t xml:space="preserve"> </w:t>
      </w:r>
      <w:r>
        <w:t xml:space="preserve">“</w:t>
      </w:r>
      <w:r>
        <w:t xml:space="preserve">too attenuated and too tangential to its functions</w:t>
      </w:r>
      <w:r>
        <w:t xml:space="preserve">”</w:t>
      </w:r>
      <w:r>
        <w:t xml:space="preserve">). The committee sued, its final report says, because</w:t>
      </w:r>
      <w:r>
        <w:t xml:space="preserve"> </w:t>
      </w:r>
      <w:r>
        <w:t xml:space="preserve">“</w:t>
      </w:r>
      <w:r>
        <w:t xml:space="preserve">it appeared unseemly to attempt enforcement by initiating statutory contempt proceedings against the President (see 2 U.S.C. 192) or by employing the self-help measures at the Senate’s command</w:t>
      </w:r>
      <w:r>
        <w:t xml:space="preserve">”</w:t>
      </w:r>
      <w:r>
        <w:t xml:space="preserve"> </w:t>
      </w:r>
      <w:r>
        <w:t xml:space="preserve">(Senate Select Committee on Presidential Campaign Activities,</w:t>
      </w:r>
      <w:r>
        <w:t xml:space="preserve"> </w:t>
      </w:r>
      <w:r>
        <w:rPr>
          <w:iCs/>
          <w:i/>
        </w:rPr>
        <w:t xml:space="preserve">Final Report</w:t>
      </w:r>
      <w:r>
        <w:t xml:space="preserve">, S. Rep. No. 93-981 (1974), 1081). S. Res. 194, 93d Cong. (1973), affirming that the committee was authorized to subpoena and sue the President, was submitted on November 2 and agreed to on November 7, 1973 (119 Cong. Rec. 35714, 36094–95; S. Rep. No. 93-981, 1082);</w:t>
      </w:r>
      <w:r>
        <w:t xml:space="preserve"> </w:t>
      </w:r>
      <w:r>
        <w:rPr>
          <w:iCs/>
          <w:i/>
        </w:rPr>
        <w:t xml:space="preserve">Senate Select Committee</w:t>
      </w:r>
      <w:r>
        <w:t xml:space="preserve">, 498 F.2d at 727, dates its passage to November 2, the day it was submitted. The jurisdictional statute is Pub. L. No. 93-190 (1973).</w:t>
      </w:r>
      <w:r>
        <w:t xml:space="preserve"> </w:t>
      </w:r>
      <w:r>
        <w:rPr>
          <w:iCs/>
          <w:i/>
        </w:rPr>
        <w:t xml:space="preserve">Nixon v. Sirica</w:t>
      </w:r>
      <w:r>
        <w:t xml:space="preserve">, 487 F.2d 700, 717 (D.C. Cir. 1973) (per curiam) (presidential conversations</w:t>
      </w:r>
      <w:r>
        <w:t xml:space="preserve"> </w:t>
      </w:r>
      <w:r>
        <w:t xml:space="preserve">“</w:t>
      </w:r>
      <w:r>
        <w:t xml:space="preserve">are presumptively privileged</w:t>
      </w:r>
      <w:r>
        <w:t xml:space="preserve">”</w:t>
      </w:r>
      <w:r>
        <w:t xml:space="preserve">). On the October 1973 Stennis proposal: Richard Nixon,</w:t>
      </w:r>
      <w:r>
        <w:t xml:space="preserve"> </w:t>
      </w:r>
      <w:r>
        <w:t xml:space="preserve">“</w:t>
      </w:r>
      <w:r>
        <w:t xml:space="preserve">Statement Announcing Procedures for Providing Information From Presidential Tape Recordings,</w:t>
      </w:r>
      <w:r>
        <w:t xml:space="preserve">”</w:t>
      </w:r>
      <w:r>
        <w:t xml:space="preserve"> </w:t>
      </w:r>
      <w:r>
        <w:t xml:space="preserve">October 19, 1973 (</w:t>
      </w:r>
      <w:r>
        <w:t xml:space="preserve">“</w:t>
      </w:r>
      <w:r>
        <w:t xml:space="preserve">Chairman Sam Ervin and Vice Chairman Howard Baker of the Senate Select Committee have agreed to this procedure</w:t>
      </w:r>
      <w:r>
        <w:t xml:space="preserve">”</w:t>
      </w:r>
      <w:r>
        <w:t xml:space="preserve">; Senator Stennis would</w:t>
      </w:r>
      <w:r>
        <w:t xml:space="preserve"> </w:t>
      </w:r>
      <w:r>
        <w:t xml:space="preserve">“</w:t>
      </w:r>
      <w:r>
        <w:t xml:space="preserve">verify that the statement I am preparing is full and accurate</w:t>
      </w:r>
      <w:r>
        <w:t xml:space="preserve">”</w:t>
      </w:r>
      <w:r>
        <w:t xml:space="preserve">), The American Presidency Project, https://www.presidency.ucsb.edu/documents/statement-announcing-procedures-for-providing-information-from-presidential-tape; and</w:t>
      </w:r>
      <w:r>
        <w:t xml:space="preserve"> </w:t>
      </w:r>
      <w:r>
        <w:t xml:space="preserve">“</w:t>
      </w:r>
      <w:r>
        <w:t xml:space="preserve">The President’s News Conference,</w:t>
      </w:r>
      <w:r>
        <w:t xml:space="preserve">”</w:t>
      </w:r>
      <w:r>
        <w:t xml:space="preserve"> </w:t>
      </w:r>
      <w:r>
        <w:t xml:space="preserve">October 26, 1973 (</w:t>
      </w:r>
      <w:r>
        <w:t xml:space="preserve">“</w:t>
      </w:r>
      <w:r>
        <w:t xml:space="preserve">Senator Baker, Senator Ervin approved of the proposition</w:t>
      </w:r>
      <w:r>
        <w:t xml:space="preserve">”</w:t>
      </w:r>
      <w:r>
        <w:t xml:space="preserve">), The American Presidency Project, https://www.presidency.ucsb.edu/documents/the-presidents-news-conference-84; against which the committee’s own report states that the two senators met the President</w:t>
      </w:r>
      <w:r>
        <w:t xml:space="preserve"> </w:t>
      </w:r>
      <w:r>
        <w:t xml:space="preserve">“</w:t>
      </w:r>
      <w:r>
        <w:t xml:space="preserve">at the President’s behest,</w:t>
      </w:r>
      <w:r>
        <w:t xml:space="preserve">”</w:t>
      </w:r>
      <w:r>
        <w:t xml:space="preserve"> </w:t>
      </w:r>
      <w:r>
        <w:t xml:space="preserve">that</w:t>
      </w:r>
      <w:r>
        <w:t xml:space="preserve"> </w:t>
      </w:r>
      <w:r>
        <w:t xml:space="preserve">“</w:t>
      </w:r>
      <w:r>
        <w:t xml:space="preserve">Senators Ervin and Baker agreed to no such compromise,</w:t>
      </w:r>
      <w:r>
        <w:t xml:space="preserve">”</w:t>
      </w:r>
      <w:r>
        <w:t xml:space="preserve"> </w:t>
      </w:r>
      <w:r>
        <w:t xml:space="preserve">that the President</w:t>
      </w:r>
      <w:r>
        <w:t xml:space="preserve"> </w:t>
      </w:r>
      <w:r>
        <w:t xml:space="preserve">“</w:t>
      </w:r>
      <w:r>
        <w:rPr>
          <w:iCs/>
          <w:i/>
        </w:rPr>
        <w:t xml:space="preserve">unilaterally</w:t>
      </w:r>
      <w:r>
        <w:t xml:space="preserve"> </w:t>
      </w:r>
      <w:r>
        <w:t xml:space="preserve">offered certain materials to the committee</w:t>
      </w:r>
      <w:r>
        <w:t xml:space="preserve">”</w:t>
      </w:r>
      <w:r>
        <w:t xml:space="preserve"> </w:t>
      </w:r>
      <w:r>
        <w:t xml:space="preserve">(emphasis in original), that</w:t>
      </w:r>
      <w:r>
        <w:t xml:space="preserve"> </w:t>
      </w:r>
      <w:r>
        <w:t xml:space="preserve">“</w:t>
      </w:r>
      <w:r>
        <w:t xml:space="preserve">it was clearly understood by Senators Ervin and Baker that the committee, in all events, could pursue its lawsuit,</w:t>
      </w:r>
      <w:r>
        <w:t xml:space="preserve">”</w:t>
      </w:r>
      <w:r>
        <w:t xml:space="preserve"> </w:t>
      </w:r>
      <w:r>
        <w:t xml:space="preserve">that</w:t>
      </w:r>
      <w:r>
        <w:t xml:space="preserve"> </w:t>
      </w:r>
      <w:r>
        <w:t xml:space="preserve">“</w:t>
      </w:r>
      <w:r>
        <w:t xml:space="preserve">these two Senators understood that the President was offering the committee verbatim transcripts of the conversations at issue, not mere</w:t>
      </w:r>
      <w:r>
        <w:t xml:space="preserve"> </w:t>
      </w:r>
      <w:r>
        <w:t xml:space="preserve">‘</w:t>
      </w:r>
      <w:r>
        <w:t xml:space="preserve">summaries,</w:t>
      </w:r>
      <w:r>
        <w:t xml:space="preserve">’</w:t>
      </w:r>
      <w:r>
        <w:t xml:space="preserve">”</w:t>
      </w:r>
      <w:r>
        <w:t xml:space="preserve"> </w:t>
      </w:r>
      <w:r>
        <w:t xml:space="preserve">and that</w:t>
      </w:r>
      <w:r>
        <w:t xml:space="preserve"> </w:t>
      </w:r>
      <w:r>
        <w:t xml:space="preserve">“</w:t>
      </w:r>
      <w:r>
        <w:t xml:space="preserve">the</w:t>
      </w:r>
      <w:r>
        <w:t xml:space="preserve"> </w:t>
      </w:r>
      <w:r>
        <w:t xml:space="preserve">‘</w:t>
      </w:r>
      <w:r>
        <w:t xml:space="preserve">Stennis Compromise</w:t>
      </w:r>
      <w:r>
        <w:t xml:space="preserve">’</w:t>
      </w:r>
      <w:r>
        <w:t xml:space="preserve"> </w:t>
      </w:r>
      <w:r>
        <w:t xml:space="preserve">never materialized and the suit continued</w:t>
      </w:r>
      <w:r>
        <w:t xml:space="preserve">”</w:t>
      </w:r>
      <w:r>
        <w:t xml:space="preserve"> </w:t>
      </w:r>
      <w:r>
        <w:t xml:space="preserve">(S. Rep. No. 93-981, 1081); National Archives,</w:t>
      </w:r>
      <w:r>
        <w:t xml:space="preserve"> </w:t>
      </w:r>
      <w:r>
        <w:t xml:space="preserve">“</w:t>
      </w:r>
      <w:r>
        <w:t xml:space="preserve">Watergate and the Constitution,</w:t>
      </w:r>
      <w:r>
        <w:t xml:space="preserve">”</w:t>
      </w:r>
      <w:r>
        <w:t xml:space="preserve"> </w:t>
      </w:r>
      <w:r>
        <w:t xml:space="preserve">chronology, https://www.archives.gov/education/lessons/watergate-constitution/chronology.html (October 20, 1973:</w:t>
      </w:r>
      <w:r>
        <w:t xml:space="preserve"> </w:t>
      </w:r>
      <w:r>
        <w:t xml:space="preserve">“</w:t>
      </w:r>
      <w:r>
        <w:t xml:space="preserve">Archibald Cox refuses to accept the Stennis compromise</w:t>
      </w:r>
      <w:r>
        <w:t xml:space="preserve">”</w:t>
      </w:r>
      <w:r>
        <w:t xml:space="preserve">).</w:t>
      </w:r>
      <w:r>
        <w:t xml:space="preserve"> </w:t>
      </w:r>
      <w:r>
        <w:rPr>
          <w:iCs/>
          <w:i/>
        </w:rPr>
        <w:t xml:space="preserve">United States v. Haldeman</w:t>
      </w:r>
      <w:r>
        <w:t xml:space="preserve">, 559 F.2d 31 (D.C. Cir. 1976) (the arrests of June 17, 1972; sentences of imprisonment; the convictions of Haldeman, Ehrlichman, and Mitchell affirmed). Gerald R. Ford, Proclamation 4311, Granting Pardon to Richard Nixon, September 8, 1974 (reciting the resignation of August 9, 1974). Sequel: Ethics in Government Act of 1978, Pub. L. No. 95-521, 92 Stat. 1824, title VI (a special prosecutor appointed by a division of the court) and title VII (Senate Legal Counsel; a new 28 U.S.C. § 1364 for Senate civil actions, which</w:t>
      </w:r>
      <w:r>
        <w:t xml:space="preserve"> </w:t>
      </w:r>
      <w:r>
        <w:t xml:space="preserve">“</w:t>
      </w:r>
      <w:r>
        <w:t xml:space="preserve">shall not apply to an action to enforce … any subpena or order issued to an officer or employee of the Federal Government acting within his official capacity,</w:t>
      </w:r>
      <w:r>
        <w:t xml:space="preserve">”</w:t>
      </w:r>
      <w:r>
        <w:t xml:space="preserve"> </w:t>
      </w:r>
      <w:r>
        <w:t xml:space="preserve">92 Stat. 1879); Senate Historical Office,</w:t>
      </w:r>
      <w:r>
        <w:t xml:space="preserve"> </w:t>
      </w:r>
      <w:r>
        <w:t xml:space="preserve">“</w:t>
      </w:r>
      <w:r>
        <w:t xml:space="preserve">Select Committee on Presidential Campaign Activities,</w:t>
      </w:r>
      <w:r>
        <w:t xml:space="preserve">”</w:t>
      </w:r>
      <w:r>
        <w:t xml:space="preserve"> </w:t>
      </w:r>
      <w:r>
        <w:t xml:space="preserve">https://www.senate.gov/about/powers-procedures/investigations/watergate.htm (the committee’s report recommended</w:t>
      </w:r>
      <w:r>
        <w:t xml:space="preserve"> </w:t>
      </w:r>
      <w:r>
        <w:t xml:space="preserve">“</w:t>
      </w:r>
      <w:r>
        <w:t xml:space="preserve">the establishment of a permanent special prosecutor, and the creation of a permanent congressional legal service</w:t>
      </w:r>
      <w:r>
        <w:t xml:space="preserve">”</w:t>
      </w:r>
      <w:r>
        <w:t xml:space="preserve">;</w:t>
      </w:r>
      <w:r>
        <w:t xml:space="preserve"> </w:t>
      </w:r>
      <w:r>
        <w:t xml:space="preserve">“</w:t>
      </w:r>
      <w:r>
        <w:t xml:space="preserve">In 1974, Congress overrode a presidential veto and revised the Freedom of Information Act</w:t>
      </w:r>
      <w:r>
        <w:t xml:space="preserve">”</w:t>
      </w:r>
      <w:r>
        <w:t xml:space="preserve">). The contrast is scored on the Senate committee’s own demand and coded from these decisions and records, not from the committees’ full hearing records.</w:t>
      </w:r>
    </w:p>
  </w:footnote>
  <w:footnote w:id="57">
    <w:p>
      <w:pPr>
        <w:pStyle w:val="FootnoteText"/>
      </w:pPr>
      <w:r>
        <w:rPr>
          <w:rStyle w:val="FootnoteReference"/>
        </w:rPr>
        <w:footnoteRef/>
      </w:r>
      <w:r>
        <w:t xml:space="preserve"> </w:t>
      </w:r>
      <w:r>
        <w:t xml:space="preserve">The insulation followed a breach. On October 20, 1973</w:t>
      </w:r>
      <w:r>
        <w:t xml:space="preserve"> </w:t>
      </w:r>
      <w:r>
        <w:t xml:space="preserve">“</w:t>
      </w:r>
      <w:r>
        <w:t xml:space="preserve">the first Special Prosecutor was dismissed for not agreeing to the so-called</w:t>
      </w:r>
      <w:r>
        <w:t xml:space="preserve"> </w:t>
      </w:r>
      <w:r>
        <w:t xml:space="preserve">‘</w:t>
      </w:r>
      <w:r>
        <w:t xml:space="preserve">Stennis Compromise,</w:t>
      </w:r>
      <w:r>
        <w:t xml:space="preserve">’</w:t>
      </w:r>
      <w:r>
        <w:t xml:space="preserve">”</w:t>
      </w:r>
      <w:r>
        <w:t xml:space="preserve"> </w:t>
      </w:r>
      <w:r>
        <w:t xml:space="preserve">and the Attorney General and the Deputy Attorney General resigned (S. Rep. No. 93-981, 1081). The regulation the Court applied was then issued as Order No. 551-73, dated November 2, 1973 and signed by Robert H. Bork as Acting Attorney General (38 Fed. Reg. 30738–39, November 7, 1973), whom the Court calls</w:t>
      </w:r>
      <w:r>
        <w:t xml:space="preserve"> </w:t>
      </w:r>
      <w:r>
        <w:t xml:space="preserve">“</w:t>
      </w:r>
      <w:r>
        <w:t xml:space="preserve">the author of the regulation</w:t>
      </w:r>
      <w:r>
        <w:t xml:space="preserve">”</w:t>
      </w:r>
      <w:r>
        <w:t xml:space="preserve"> </w:t>
      </w:r>
      <w:r>
        <w:t xml:space="preserve">(</w:t>
      </w:r>
      <w:r>
        <w:rPr>
          <w:iCs/>
          <w:i/>
        </w:rPr>
        <w:t xml:space="preserve">United States v. Nixon</w:t>
      </w:r>
      <w:r>
        <w:t xml:space="preserve">, 418 U.S. at 695 n.9). It already contained the undertaking, quoted at 694–95 n.8, not to remove the Special Prosecutor without the President’s first consulting congressional leaders; Order No. 554-73 of November 19, 1973 (38 Fed. Reg. 32805, November 28, 1973) extended that undertaking to any limit on his jurisdiction.</w:t>
      </w:r>
    </w:p>
  </w:footnote>
  <w:footnote w:id="58">
    <w:p>
      <w:pPr>
        <w:pStyle w:val="FootnoteText"/>
      </w:pPr>
      <w:r>
        <w:rPr>
          <w:rStyle w:val="FootnoteReference"/>
        </w:rPr>
        <w:footnoteRef/>
      </w:r>
      <w:r>
        <w:t xml:space="preserve"> </w:t>
      </w:r>
      <w:r>
        <w:t xml:space="preserve">Table 6 is the single statement of the observations that would count against the description. No cutoff is applied: the indicators were developed with the historical cases and are not independently validated. Marker percentages and the number of pre-enactment guidance documents are not compliance tests. Concrete access or policy gains, including negotiated concessions and judicial compulsion, count against complete absorption. These rules were written in the September 2026 revisions and were not preregistered.</w:t>
      </w:r>
    </w:p>
  </w:footnote>
  <w:footnote w:id="61">
    <w:p>
      <w:pPr>
        <w:pStyle w:val="FootnoteText"/>
      </w:pPr>
      <w:r>
        <w:rPr>
          <w:rStyle w:val="FootnoteReference"/>
        </w:rPr>
        <w:footnoteRef/>
      </w:r>
      <w:r>
        <w:t xml:space="preserve"> </w:t>
      </w:r>
      <w:r>
        <w:t xml:space="preserve">The five comparison dimensions are: (a) institutional configuration (committee-level or individual-member-level access); (b) the course of the bargain (bargaining and defiance in both chambers in 1975–76; investigation after exposure in 1986–91; constraint built into the program’s access rules in 2001–15; investigation under counter-pressure against the committee itself in 2002–14; adjudication in the 1973–74 contrast); (c) party configuration (which party held each chamber and the presidency); (d) statutory framework; (e) documented outcome.</w:t>
      </w:r>
    </w:p>
  </w:footnote>
  <w:footnote w:id="62">
    <w:p>
      <w:pPr>
        <w:pStyle w:val="FootnoteText"/>
      </w:pPr>
      <w:r>
        <w:rPr>
          <w:rStyle w:val="FootnoteReference"/>
        </w:rPr>
        <w:footnoteRef/>
      </w:r>
      <w:r>
        <w:t xml:space="preserve"> </w:t>
      </w:r>
      <w:r>
        <w:t xml:space="preserve">Primary-source bases. Pike and Church, 1975–76: House Select Committee on Intelligence hearings,</w:t>
      </w:r>
      <w:r>
        <w:t xml:space="preserve"> </w:t>
      </w:r>
      <w:r>
        <w:rPr>
          <w:iCs/>
          <w:i/>
        </w:rPr>
        <w:t xml:space="preserve">U.S. Intelligence Agencies and Activities</w:t>
      </w:r>
      <w:r>
        <w:t xml:space="preserve">, Parts 1–6 (1975–76); Senate Select Committee,</w:t>
      </w:r>
      <w:r>
        <w:t xml:space="preserve"> </w:t>
      </w:r>
      <w:r>
        <w:rPr>
          <w:iCs/>
          <w:i/>
        </w:rPr>
        <w:t xml:space="preserve">Final Report</w:t>
      </w:r>
      <w:r>
        <w:t xml:space="preserve">, Books I–VI (1976), and hearings, vols. 1–7 (1975);</w:t>
      </w:r>
      <w:r>
        <w:t xml:space="preserve"> </w:t>
      </w:r>
      <w:r>
        <w:rPr>
          <w:iCs/>
          <w:i/>
        </w:rPr>
        <w:t xml:space="preserve">CIA: The Pike Report</w:t>
      </w:r>
      <w:r>
        <w:t xml:space="preserve"> </w:t>
      </w:r>
      <w:r>
        <w:t xml:space="preserve">(Nottingham: Spokesman Books, 1977); Snider,</w:t>
      </w:r>
      <w:r>
        <w:t xml:space="preserve"> </w:t>
      </w:r>
      <w:r>
        <w:rPr>
          <w:iCs/>
          <w:i/>
        </w:rPr>
        <w:t xml:space="preserve">Agency and the Hill</w:t>
      </w:r>
      <w:r>
        <w:t xml:space="preserve">. Iran-Contra, 1986–91: Walsh,</w:t>
      </w:r>
      <w:r>
        <w:t xml:space="preserve"> </w:t>
      </w:r>
      <w:r>
        <w:rPr>
          <w:iCs/>
          <w:i/>
        </w:rPr>
        <w:t xml:space="preserve">Final Report</w:t>
      </w:r>
      <w:r>
        <w:t xml:space="preserve">, vol. 1 (1993);</w:t>
      </w:r>
      <w:r>
        <w:t xml:space="preserve"> </w:t>
      </w:r>
      <w:r>
        <w:rPr>
          <w:iCs/>
          <w:i/>
        </w:rPr>
        <w:t xml:space="preserve">Report of the Congressional Committees Investigating the Iran-Contra Affair</w:t>
      </w:r>
      <w:r>
        <w:t xml:space="preserve">, H. Rept. 100-433, S. Rept. 100-216 (1987); the Cooper opinion (December 17, 1986); NSDD-286 (October 15, 1987); the Bush–Boren letter (October 30, 1989). NSA bulk collection, 2001–15: the NSA Inspector General’s working draft (2009); the Wyden–Udall letters of 2011 and 2012; the Department of Justice white paper (2013); the Privacy and Civil Liberties Oversight Board report (2014); the USA FREEDOM Act (2015); the appellate decisions. CIA Interrogation Program, 2002–14: the SSCI study’s Foreword, Findings and Conclusions, and Executive Summary (released December 9, 2014); Senator Feinstein’s floor statement of March 11, 2014. Watergate tapes, 1973–74: the judicial decisions, the President’s statements, and the Senate committee’s final report cited in the Watergate note to the framework.</w:t>
      </w:r>
    </w:p>
  </w:footnote>
  <w:footnote w:id="63">
    <w:p>
      <w:pPr>
        <w:pStyle w:val="FootnoteText"/>
      </w:pPr>
      <w:r>
        <w:rPr>
          <w:rStyle w:val="FootnoteReference"/>
        </w:rPr>
        <w:footnoteRef/>
      </w:r>
      <w:r>
        <w:t xml:space="preserve"> </w:t>
      </w:r>
      <w:r>
        <w:t xml:space="preserve">James Mahoney and Gary Goertz,</w:t>
      </w:r>
      <w:r>
        <w:t xml:space="preserve"> </w:t>
      </w:r>
      <w:r>
        <w:t xml:space="preserve">“</w:t>
      </w:r>
      <w:r>
        <w:t xml:space="preserve">A Tale of Two Cultures: Contrasting Quantitative and Qualitative Research,</w:t>
      </w:r>
      <w:r>
        <w:t xml:space="preserve">”</w:t>
      </w:r>
      <w:r>
        <w:t xml:space="preserve"> </w:t>
      </w:r>
      <w:r>
        <w:rPr>
          <w:iCs/>
          <w:i/>
        </w:rPr>
        <w:t xml:space="preserve">Political Analysis</w:t>
      </w:r>
      <w:r>
        <w:t xml:space="preserve"> </w:t>
      </w:r>
      <w:r>
        <w:t xml:space="preserve">14, no. 3 (2006): 227–249. The comparison here is exploratory and claims neither a most-similar nor a most-different systems design; on the limits of those designs, see Adam Przeworski and Henry Teune,</w:t>
      </w:r>
      <w:r>
        <w:t xml:space="preserve"> </w:t>
      </w:r>
      <w:r>
        <w:rPr>
          <w:iCs/>
          <w:i/>
        </w:rPr>
        <w:t xml:space="preserve">The Logic of Comparative Social Inquiry</w:t>
      </w:r>
      <w:r>
        <w:t xml:space="preserve"> </w:t>
      </w:r>
      <w:r>
        <w:t xml:space="preserve">(New York: Wiley-Interscience, 1970), and Carsten Anckar,</w:t>
      </w:r>
      <w:r>
        <w:t xml:space="preserve"> </w:t>
      </w:r>
      <w:r>
        <w:t xml:space="preserve">“</w:t>
      </w:r>
      <w:r>
        <w:t xml:space="preserve">On the Applicability of the Most Similar Systems Design and the Most Different Systems Design in Comparative Research,</w:t>
      </w:r>
      <w:r>
        <w:t xml:space="preserve">”</w:t>
      </w:r>
      <w:r>
        <w:t xml:space="preserve"> </w:t>
      </w:r>
      <w:r>
        <w:rPr>
          <w:iCs/>
          <w:i/>
        </w:rPr>
        <w:t xml:space="preserve">International Journal of Social Research Methodology</w:t>
      </w:r>
      <w:r>
        <w:t xml:space="preserve"> </w:t>
      </w:r>
      <w:r>
        <w:t xml:space="preserve">11, no. 5 (2008): 389–401.</w:t>
      </w:r>
    </w:p>
  </w:footnote>
  <w:footnote w:id="64">
    <w:p>
      <w:pPr>
        <w:pStyle w:val="FootnoteText"/>
      </w:pPr>
      <w:r>
        <w:rPr>
          <w:rStyle w:val="FootnoteReference"/>
        </w:rPr>
        <w:footnoteRef/>
      </w:r>
      <w:r>
        <w:t xml:space="preserve"> </w:t>
      </w:r>
      <w:r>
        <w:t xml:space="preserve">Three grounds support EFTA selection: enactment by a 427–1 House vote and Senate unanimous consent, enumerated redaction categories, and an empirically characterizable multi-million-page production. The searchable index is used for retrieval rather than as the population denominator; the manuscript’s manifest population is defined separately. Enactment and statutory text sharpen rival tests but do not logically rule out every partisan or discretionary-withholding explanation.</w:t>
      </w:r>
    </w:p>
  </w:footnote>
  <w:footnote w:id="65">
    <w:p>
      <w:pPr>
        <w:pStyle w:val="FootnoteText"/>
      </w:pPr>
      <w:r>
        <w:rPr>
          <w:rStyle w:val="FootnoteReference"/>
        </w:rPr>
        <w:footnoteRef/>
      </w:r>
      <w:r>
        <w:t xml:space="preserve"> </w:t>
      </w:r>
      <w:r>
        <w:t xml:space="preserve">David Collier,</w:t>
      </w:r>
      <w:r>
        <w:t xml:space="preserve"> </w:t>
      </w:r>
      <w:r>
        <w:t xml:space="preserve">“</w:t>
      </w:r>
      <w:r>
        <w:t xml:space="preserve">Understanding Process Tracing,</w:t>
      </w:r>
      <w:r>
        <w:t xml:space="preserve">”</w:t>
      </w:r>
      <w:r>
        <w:t xml:space="preserve"> </w:t>
      </w:r>
      <w:r>
        <w:t xml:space="preserve">PS: Political Science &amp; Politics 44, no. 4 (2011): 823–830. Used for the distinction between a documented observation and its discriminating force among explanations. This paper does not assign decisive evidentiary-test labels to the training or marker counts.</w:t>
      </w:r>
    </w:p>
  </w:footnote>
  <w:footnote w:id="67">
    <w:p>
      <w:pPr>
        <w:pStyle w:val="FootnoteText"/>
      </w:pPr>
      <w:r>
        <w:rPr>
          <w:rStyle w:val="FootnoteReference"/>
        </w:rPr>
        <w:footnoteRef/>
      </w:r>
      <w:r>
        <w:t xml:space="preserve"> </w:t>
      </w:r>
      <w:r>
        <w:t xml:space="preserve">Seymour M. Hersh,</w:t>
      </w:r>
      <w:r>
        <w:t xml:space="preserve"> </w:t>
      </w:r>
      <w:r>
        <w:t xml:space="preserve">“</w:t>
      </w:r>
      <w:r>
        <w:t xml:space="preserve">Huge C.I.A. Operation Reported in U.S. Against Antiwar Forces, Other Dissidents in Nixon Years,</w:t>
      </w:r>
      <w:r>
        <w:t xml:space="preserve">”</w:t>
      </w:r>
      <w:r>
        <w:t xml:space="preserve"> </w:t>
      </w:r>
      <w:r>
        <w:rPr>
          <w:iCs/>
          <w:i/>
        </w:rPr>
        <w:t xml:space="preserve">New York Times</w:t>
      </w:r>
      <w:r>
        <w:t xml:space="preserve">, December 22, 1974, A1. Hersh’s report dealt with many of the subjects disclosed in the Schlesinger-ordered</w:t>
      </w:r>
      <w:r>
        <w:t xml:space="preserve"> </w:t>
      </w:r>
      <w:r>
        <w:t xml:space="preserve">“</w:t>
      </w:r>
      <w:r>
        <w:t xml:space="preserve">Family Jewels</w:t>
      </w:r>
      <w:r>
        <w:t xml:space="preserve">”</w:t>
      </w:r>
      <w:r>
        <w:t xml:space="preserve"> </w:t>
      </w:r>
      <w:r>
        <w:t xml:space="preserve">internal CIA self-audit and first revealed the compilation’s existence; the CIA released the compilation on June 26, 2007. Snider,</w:t>
      </w:r>
      <w:r>
        <w:t xml:space="preserve"> </w:t>
      </w:r>
      <w:r>
        <w:rPr>
          <w:iCs/>
          <w:i/>
        </w:rPr>
        <w:t xml:space="preserve">Agency and the Hill</w:t>
      </w:r>
      <w:r>
        <w:t xml:space="preserve">, 33, 234 n.40. Victor Marchetti and John D. Marks,</w:t>
      </w:r>
      <w:r>
        <w:t xml:space="preserve"> </w:t>
      </w:r>
      <w:r>
        <w:rPr>
          <w:iCs/>
          <w:i/>
        </w:rPr>
        <w:t xml:space="preserve">The CIA and the Cult of Intelligence</w:t>
      </w:r>
      <w:r>
        <w:t xml:space="preserve"> </w:t>
      </w:r>
      <w:r>
        <w:t xml:space="preserve">(New York: Knopf, 1974). For the Senate authorization, S. Res. 21, 94th Cong. (1975), agreed to January 27, 1975, by a vote of 82 to 4 (Snider,</w:t>
      </w:r>
      <w:r>
        <w:t xml:space="preserve"> </w:t>
      </w:r>
      <w:r>
        <w:rPr>
          <w:iCs/>
          <w:i/>
        </w:rPr>
        <w:t xml:space="preserve">Agency and the Hill</w:t>
      </w:r>
      <w:r>
        <w:t xml:space="preserve">, 34; the resolution is printed as agreed to in Senate Select Committee to Study Governmental Operations with Respect to Intelligence Activities,</w:t>
      </w:r>
      <w:r>
        <w:t xml:space="preserve"> </w:t>
      </w:r>
      <w:r>
        <w:rPr>
          <w:iCs/>
          <w:i/>
        </w:rPr>
        <w:t xml:space="preserve">Rules of Procedure</w:t>
      </w:r>
      <w:r>
        <w:t xml:space="preserve"> </w:t>
      </w:r>
      <w:r>
        <w:t xml:space="preserve">(1975), appendix). For the House, the committee was reconstituted under H. Res. 591, 94th Cong. (1975), after initial controversy over the Lucien Nedzi chairmanship.</w:t>
      </w:r>
    </w:p>
  </w:footnote>
  <w:footnote w:id="68">
    <w:p>
      <w:pPr>
        <w:pStyle w:val="FootnoteText"/>
      </w:pPr>
      <w:r>
        <w:rPr>
          <w:rStyle w:val="FootnoteReference"/>
        </w:rPr>
        <w:footnoteRef/>
      </w:r>
      <w:r>
        <w:t xml:space="preserve"> </w:t>
      </w:r>
      <w:r>
        <w:t xml:space="preserve">On January 29, 1976</w:t>
      </w:r>
      <w:r>
        <w:t xml:space="preserve"> </w:t>
      </w:r>
      <w:r>
        <w:t xml:space="preserve">“</w:t>
      </w:r>
      <w:r>
        <w:t xml:space="preserve">the House voted 246-124, with 127 Democrats joining 119 Republicans, to suppress the publication of the report</w:t>
      </w:r>
      <w:r>
        <w:t xml:space="preserve">”</w:t>
      </w:r>
      <w:r>
        <w:t xml:space="preserve">: Snider,</w:t>
      </w:r>
      <w:r>
        <w:t xml:space="preserve"> </w:t>
      </w:r>
      <w:r>
        <w:rPr>
          <w:iCs/>
          <w:i/>
        </w:rPr>
        <w:t xml:space="preserve">Agency and the Hill</w:t>
      </w:r>
      <w:r>
        <w:t xml:space="preserve">, 39. The condition the resolution (H. Res. 982) attached is described in the committee’s later proceedings, where Representative McClory’s motion asked that the report be</w:t>
      </w:r>
      <w:r>
        <w:t xml:space="preserve"> </w:t>
      </w:r>
      <w:r>
        <w:t xml:space="preserve">“</w:t>
      </w:r>
      <w:r>
        <w:t xml:space="preserve">examined by a representative of the President of the United States for purposes of indicating classified information as materials required to be deleted from the report prior to publication in accordance with House Resolution 982</w:t>
      </w:r>
      <w:r>
        <w:t xml:space="preserve">”</w:t>
      </w:r>
      <w:r>
        <w:t xml:space="preserve">:</w:t>
      </w:r>
      <w:r>
        <w:t xml:space="preserve"> </w:t>
      </w:r>
      <w:r>
        <w:rPr>
          <w:iCs/>
          <w:i/>
        </w:rPr>
        <w:t xml:space="preserve">U.S. Intelligence Agencies and Activities: Committee Proceedings</w:t>
      </w:r>
      <w:r>
        <w:t xml:space="preserve">, Part 6 (1976), p. 2138. The</w:t>
      </w:r>
      <w:r>
        <w:t xml:space="preserve"> </w:t>
      </w:r>
      <w:r>
        <w:rPr>
          <w:iCs/>
          <w:i/>
        </w:rPr>
        <w:t xml:space="preserve">Congressional Record</w:t>
      </w:r>
      <w:r>
        <w:t xml:space="preserve"> </w:t>
      </w:r>
      <w:r>
        <w:t xml:space="preserve">text of the amendment was not opened for this edition. The findings nonetheless appeared through Daniel Schorr’s leak to the</w:t>
      </w:r>
      <w:r>
        <w:t xml:space="preserve"> </w:t>
      </w:r>
      <w:r>
        <w:rPr>
          <w:iCs/>
          <w:i/>
        </w:rPr>
        <w:t xml:space="preserve">Village Voice</w:t>
      </w:r>
      <w:r>
        <w:t xml:space="preserve">, which published them on February 16, 1976 (Snider, 39), and in book form as</w:t>
      </w:r>
      <w:r>
        <w:t xml:space="preserve"> </w:t>
      </w:r>
      <w:r>
        <w:rPr>
          <w:iCs/>
          <w:i/>
        </w:rPr>
        <w:t xml:space="preserve">CIA: The Pike Report</w:t>
      </w:r>
      <w:r>
        <w:t xml:space="preserve"> </w:t>
      </w:r>
      <w:r>
        <w:t xml:space="preserve">(Nottingham: Spokesman Books, 1977).</w:t>
      </w:r>
    </w:p>
  </w:footnote>
  <w:footnote w:id="69">
    <w:p>
      <w:pPr>
        <w:pStyle w:val="FootnoteText"/>
      </w:pPr>
      <w:r>
        <w:rPr>
          <w:rStyle w:val="FootnoteReference"/>
        </w:rPr>
        <w:footnoteRef/>
      </w:r>
      <w:r>
        <w:t xml:space="preserve"> </w:t>
      </w:r>
      <w:r>
        <w:t xml:space="preserve">Senate Select Committee to Study Governmental Operations with Respect to Intelligence Activities,</w:t>
      </w:r>
      <w:r>
        <w:t xml:space="preserve"> </w:t>
      </w:r>
      <w:r>
        <w:rPr>
          <w:iCs/>
          <w:i/>
        </w:rPr>
        <w:t xml:space="preserve">Final Report</w:t>
      </w:r>
      <w:r>
        <w:t xml:space="preserve">, S. Rep. No. 94-755, Book I:</w:t>
      </w:r>
      <w:r>
        <w:t xml:space="preserve"> </w:t>
      </w:r>
      <w:r>
        <w:rPr>
          <w:iCs/>
          <w:i/>
        </w:rPr>
        <w:t xml:space="preserve">Foreign and Military Intelligence</w:t>
      </w:r>
      <w:r>
        <w:t xml:space="preserve"> </w:t>
      </w:r>
      <w:r>
        <w:t xml:space="preserve">and Book II:</w:t>
      </w:r>
      <w:r>
        <w:t xml:space="preserve"> </w:t>
      </w:r>
      <w:r>
        <w:rPr>
          <w:iCs/>
          <w:i/>
        </w:rPr>
        <w:t xml:space="preserve">Intelligence Activities and the Rights of Americans</w:t>
      </w:r>
      <w:r>
        <w:t xml:space="preserve"> </w:t>
      </w:r>
      <w:r>
        <w:t xml:space="preserve">(both dated April 26, 1976), with Books III–VI (supplementary detailed staff reports, the report on the investigation of the Kennedy assassination, and supplementary reports on intelligence activities);</w:t>
      </w:r>
      <w:r>
        <w:t xml:space="preserve"> </w:t>
      </w:r>
      <w:r>
        <w:rPr>
          <w:iCs/>
          <w:i/>
        </w:rPr>
        <w:t xml:space="preserve">Intelligence Activities, Senate Resolution 21: Hearings Before the Select Committee</w:t>
      </w:r>
      <w:r>
        <w:t xml:space="preserve">, 94th Cong., 1st Sess., vols. 1–7 (1975);</w:t>
      </w:r>
      <w:r>
        <w:t xml:space="preserve"> </w:t>
      </w:r>
      <w:r>
        <w:rPr>
          <w:iCs/>
          <w:i/>
        </w:rPr>
        <w:t xml:space="preserve">Alleged Assassination Plots Involving Foreign Leaders: An Interim Report</w:t>
      </w:r>
      <w:r>
        <w:t xml:space="preserve"> </w:t>
      </w:r>
      <w:r>
        <w:t xml:space="preserve">(November 20, 1975); Exec. Order No. 11905,</w:t>
      </w:r>
      <w:r>
        <w:t xml:space="preserve"> </w:t>
      </w:r>
      <w:r>
        <w:rPr>
          <w:iCs/>
          <w:i/>
        </w:rPr>
        <w:t xml:space="preserve">United States Foreign Intelligence Activities</w:t>
      </w:r>
      <w:r>
        <w:t xml:space="preserve">, 41 Fed. Reg. 7703 (Feb. 19, 1976). The Senate Historical Office gives April 29, 1976 as the date the report was issued (71 days after the order); this paper uses the April 26, 1976 date printed on Books I and II (68 days).</w:t>
      </w:r>
    </w:p>
  </w:footnote>
  <w:footnote w:id="70">
    <w:p>
      <w:pPr>
        <w:pStyle w:val="FootnoteText"/>
      </w:pPr>
      <w:r>
        <w:rPr>
          <w:rStyle w:val="FootnoteReference"/>
        </w:rPr>
        <w:footnoteRef/>
      </w:r>
      <w:r>
        <w:t xml:space="preserve"> </w:t>
      </w:r>
      <w:r>
        <w:t xml:space="preserve">For the procedural confrontation, including the Kissinger contempt resolutions of November 14, 1975 and Antonin Scalia’s Office of Legal Counsel appearance of November 20, 1975, see</w:t>
      </w:r>
      <w:r>
        <w:t xml:space="preserve"> </w:t>
      </w:r>
      <w:r>
        <w:rPr>
          <w:iCs/>
          <w:i/>
        </w:rPr>
        <w:t xml:space="preserve">U.S. Intelligence Agencies and Activities: Committee Proceedings, Hearings Before the Select Committee on Intelligence, House of Representatives, 94th Congress, 1st Sess., Part 4</w:t>
      </w:r>
      <w:r>
        <w:t xml:space="preserve"> </w:t>
      </w:r>
      <w:r>
        <w:t xml:space="preserve">(1975), 1383 ff. (meeting of November 14: resolutions of contempt) and 1413 ff. (meeting of November 20; Scalia prepared statement at 1456, stating at 1457 that the seven subpoenas were served on Friday, November 7 and returnable on Tuesday, November 11). For the Rogovin-Field exchange immediately preceding the suppression vote, see</w:t>
      </w:r>
      <w:r>
        <w:t xml:space="preserve"> </w:t>
      </w:r>
      <w:r>
        <w:rPr>
          <w:iCs/>
          <w:i/>
        </w:rPr>
        <w:t xml:space="preserve">U.S. Intelligence Agencies and Activities: Committee Proceedings, Hearings Before the Select Committee on Intelligence, House of Representatives, 94th Congress, 2d Sess., Part 6</w:t>
      </w:r>
      <w:r>
        <w:t xml:space="preserve"> </w:t>
      </w:r>
      <w:r>
        <w:t xml:space="preserve">(1976), 2127-2130. For the Rockefeller Commission as the executive-side parallel investigation, see</w:t>
      </w:r>
      <w:r>
        <w:t xml:space="preserve"> </w:t>
      </w:r>
      <w:r>
        <w:rPr>
          <w:iCs/>
          <w:i/>
        </w:rPr>
        <w:t xml:space="preserve">Report to the President by the Commission on CIA Activities Within the United States</w:t>
      </w:r>
      <w:r>
        <w:t xml:space="preserve"> </w:t>
      </w:r>
      <w:r>
        <w:t xml:space="preserve">(June 6, 1975).</w:t>
      </w:r>
    </w:p>
  </w:footnote>
  <w:footnote w:id="71">
    <w:p>
      <w:pPr>
        <w:pStyle w:val="FootnoteText"/>
      </w:pPr>
      <w:r>
        <w:rPr>
          <w:rStyle w:val="FootnoteReference"/>
        </w:rPr>
        <w:footnoteRef/>
      </w:r>
      <w:r>
        <w:t xml:space="preserve"> </w:t>
      </w:r>
      <w:r>
        <w:rPr>
          <w:iCs/>
          <w:i/>
        </w:rPr>
        <w:t xml:space="preserve">U.S. Intelligence Agencies and Activities: Committee Proceedings, Hearings Before the Select Committee on Intelligence, House of Representatives</w:t>
      </w:r>
      <w:r>
        <w:t xml:space="preserve">, 94th Cong., 1st Sess., Part 4 (1975), pp. 1275–76 (Director Colby’s letter of September 30, 1975, setting the conditions, under which the committee</w:t>
      </w:r>
      <w:r>
        <w:t xml:space="preserve"> </w:t>
      </w:r>
      <w:r>
        <w:t xml:space="preserve">“</w:t>
      </w:r>
      <w:r>
        <w:t xml:space="preserve">would reserve its right to submit the matter to judicial determination</w:t>
      </w:r>
      <w:r>
        <w:t xml:space="preserve">”</w:t>
      </w:r>
      <w:r>
        <w:t xml:space="preserve">; Chairman Pike:</w:t>
      </w:r>
      <w:r>
        <w:t xml:space="preserve"> </w:t>
      </w:r>
      <w:r>
        <w:t xml:space="preserve">“</w:t>
      </w:r>
      <w:r>
        <w:t xml:space="preserve">essentially the conditions which Mr. McClory and I discussed with the President</w:t>
      </w:r>
      <w:r>
        <w:t xml:space="preserve">”</w:t>
      </w:r>
      <w:r>
        <w:t xml:space="preserve">) and 1286 (October 1:</w:t>
      </w:r>
      <w:r>
        <w:t xml:space="preserve"> </w:t>
      </w:r>
      <w:r>
        <w:t xml:space="preserve">“</w:t>
      </w:r>
      <w:r>
        <w:t xml:space="preserve">The motion is agreed to by a vote of 10 to 3</w:t>
      </w:r>
      <w:r>
        <w:t xml:space="preserve">”</w:t>
      </w:r>
      <w:r>
        <w:t xml:space="preserve">);</w:t>
      </w:r>
      <w:r>
        <w:t xml:space="preserve"> </w:t>
      </w:r>
      <w:r>
        <w:rPr>
          <w:iCs/>
          <w:i/>
        </w:rPr>
        <w:t xml:space="preserve">U.S. Intelligence Agencies and Activities: Risks and Control of Foreign Intelligence</w:t>
      </w:r>
      <w:r>
        <w:t xml:space="preserve">, Part 5 (1975), pp. 1601 (December 2: substantial compliance on the 40 Committee subpoena after members examined the material at the Executive Office Building) and 1771–72 (December 10: Pike,</w:t>
      </w:r>
      <w:r>
        <w:t xml:space="preserve"> </w:t>
      </w:r>
      <w:r>
        <w:t xml:space="preserve">“</w:t>
      </w:r>
      <w:r>
        <w:t xml:space="preserve">It was, on the other hand, a compromise. We did not get everything we wanted, but we got more than they wanted to give us,</w:t>
      </w:r>
      <w:r>
        <w:t xml:space="preserve">”</w:t>
      </w:r>
      <w:r>
        <w:t xml:space="preserve"> </w:t>
      </w:r>
      <w:r>
        <w:t xml:space="preserve">and</w:t>
      </w:r>
      <w:r>
        <w:t xml:space="preserve"> </w:t>
      </w:r>
      <w:r>
        <w:t xml:space="preserve">“</w:t>
      </w:r>
      <w:r>
        <w:t xml:space="preserve">substantial compliance on this subpena and the issue is moot</w:t>
      </w:r>
      <w:r>
        <w:t xml:space="preserve">”</w:t>
      </w:r>
      <w:r>
        <w:t xml:space="preserve">). Snider,</w:t>
      </w:r>
      <w:r>
        <w:t xml:space="preserve"> </w:t>
      </w:r>
      <w:r>
        <w:rPr>
          <w:iCs/>
          <w:i/>
        </w:rPr>
        <w:t xml:space="preserve">Agency and the Hill</w:t>
      </w:r>
      <w:r>
        <w:t xml:space="preserve">, 200 (on September 18, 1975 Ford advised that the executive would provide no more classified materials, testimony, or interviews; on September 26,</w:t>
      </w:r>
      <w:r>
        <w:t xml:space="preserve"> </w:t>
      </w:r>
      <w:r>
        <w:t xml:space="preserve">“</w:t>
      </w:r>
      <w:r>
        <w:t xml:space="preserve">at a White House meeting with Pike and the leadership of the House,</w:t>
      </w:r>
      <w:r>
        <w:t xml:space="preserve">”</w:t>
      </w:r>
      <w:r>
        <w:t xml:space="preserve"> </w:t>
      </w:r>
      <w:r>
        <w:t xml:space="preserve">the committee agreed that the President</w:t>
      </w:r>
      <w:r>
        <w:t xml:space="preserve"> </w:t>
      </w:r>
      <w:r>
        <w:t xml:space="preserve">“</w:t>
      </w:r>
      <w:r>
        <w:t xml:space="preserve">would be the final arbiter</w:t>
      </w:r>
      <w:r>
        <w:t xml:space="preserve">”</w:t>
      </w:r>
      <w:r>
        <w:t xml:space="preserve">) and 201 (Pike</w:t>
      </w:r>
      <w:r>
        <w:t xml:space="preserve"> </w:t>
      </w:r>
      <w:r>
        <w:t xml:space="preserve">“</w:t>
      </w:r>
      <w:r>
        <w:t xml:space="preserve">contended his agreement did not extend to the committee’s final report</w:t>
      </w:r>
      <w:r>
        <w:t xml:space="preserve">”</w:t>
      </w:r>
      <w:r>
        <w:t xml:space="preserve">).</w:t>
      </w:r>
    </w:p>
  </w:footnote>
  <w:footnote w:id="72">
    <w:p>
      <w:pPr>
        <w:pStyle w:val="FootnoteText"/>
      </w:pPr>
      <w:r>
        <w:rPr>
          <w:rStyle w:val="FootnoteReference"/>
        </w:rPr>
        <w:footnoteRef/>
      </w:r>
      <w:r>
        <w:t xml:space="preserve"> </w:t>
      </w:r>
      <w:r>
        <w:rPr>
          <w:iCs/>
          <w:i/>
        </w:rPr>
        <w:t xml:space="preserve">Intelligence Activities, Senate Resolution 21: Hearings Before the Select Committee to Study Governmental Operations with Respect to Intelligence Activities</w:t>
      </w:r>
      <w:r>
        <w:t xml:space="preserve">, 94th Cong., 1st Sess., vol. 5 (1975), pp. 51 (Senator Tower:</w:t>
      </w:r>
      <w:r>
        <w:t xml:space="preserve"> </w:t>
      </w:r>
      <w:r>
        <w:t xml:space="preserve">“</w:t>
      </w:r>
      <w:r>
        <w:t xml:space="preserve">President Ford has personally and specifically requested of the committee that it be kept secret</w:t>
      </w:r>
      <w:r>
        <w:t xml:space="preserve">”</w:t>
      </w:r>
      <w:r>
        <w:t xml:space="preserve">), 57 (hearing of November 6, 1975; the committee’s vote</w:t>
      </w:r>
      <w:r>
        <w:t xml:space="preserve"> </w:t>
      </w:r>
      <w:r>
        <w:t xml:space="preserve">“</w:t>
      </w:r>
      <w:r>
        <w:t xml:space="preserve">of seven to three that the information should be made public</w:t>
      </w:r>
      <w:r>
        <w:t xml:space="preserve">”</w:t>
      </w:r>
      <w:r>
        <w:t xml:space="preserve">), and 58 (first inquiries</w:t>
      </w:r>
      <w:r>
        <w:t xml:space="preserve"> </w:t>
      </w:r>
      <w:r>
        <w:t xml:space="preserve">“</w:t>
      </w:r>
      <w:r>
        <w:t xml:space="preserve">last May</w:t>
      </w:r>
      <w:r>
        <w:t xml:space="preserve">”</w:t>
      </w:r>
      <w:r>
        <w:t xml:space="preserve">; no response</w:t>
      </w:r>
      <w:r>
        <w:t xml:space="preserve"> </w:t>
      </w:r>
      <w:r>
        <w:t xml:space="preserve">“</w:t>
      </w:r>
      <w:r>
        <w:t xml:space="preserve">until early September</w:t>
      </w:r>
      <w:r>
        <w:t xml:space="preserve">”</w:t>
      </w:r>
      <w:r>
        <w:t xml:space="preserve">). Snider,</w:t>
      </w:r>
      <w:r>
        <w:t xml:space="preserve"> </w:t>
      </w:r>
      <w:r>
        <w:rPr>
          <w:iCs/>
          <w:i/>
        </w:rPr>
        <w:t xml:space="preserve">Agency and the Hill</w:t>
      </w:r>
      <w:r>
        <w:t xml:space="preserve">, 276 (the committee published the assassination report over the administration’s objection after</w:t>
      </w:r>
      <w:r>
        <w:t xml:space="preserve"> </w:t>
      </w:r>
      <w:r>
        <w:t xml:space="preserve">“</w:t>
      </w:r>
      <w:r>
        <w:t xml:space="preserve">presenting the issue to a secret session of the full Senate and noting an</w:t>
      </w:r>
      <w:r>
        <w:t xml:space="preserve"> </w:t>
      </w:r>
      <w:r>
        <w:t xml:space="preserve">‘</w:t>
      </w:r>
      <w:r>
        <w:t xml:space="preserve">absence of disapproval</w:t>
      </w:r>
      <w:r>
        <w:t xml:space="preserve">’</w:t>
      </w:r>
      <w:r>
        <w:t xml:space="preserve">”</w:t>
      </w:r>
      <w:r>
        <w:t xml:space="preserve">; Snider dates the release to December 1975, while the report itself is dated November 20, 1975).</w:t>
      </w:r>
    </w:p>
  </w:footnote>
  <w:footnote w:id="73">
    <w:p>
      <w:pPr>
        <w:pStyle w:val="FootnoteText"/>
      </w:pPr>
      <w:r>
        <w:rPr>
          <w:rStyle w:val="FootnoteReference"/>
        </w:rPr>
        <w:footnoteRef/>
      </w:r>
      <w:r>
        <w:t xml:space="preserve"> </w:t>
      </w:r>
      <w:r>
        <w:t xml:space="preserve">Snider,</w:t>
      </w:r>
      <w:r>
        <w:t xml:space="preserve"> </w:t>
      </w:r>
      <w:r>
        <w:rPr>
          <w:iCs/>
          <w:i/>
        </w:rPr>
        <w:t xml:space="preserve">Agency and the Hill</w:t>
      </w:r>
      <w:r>
        <w:t xml:space="preserve">, 51 (S. Res. 400 passed May 19, 1976), 60 (Hughes-Ryan reporting reduced</w:t>
      </w:r>
      <w:r>
        <w:t xml:space="preserve"> </w:t>
      </w:r>
      <w:r>
        <w:t xml:space="preserve">“</w:t>
      </w:r>
      <w:r>
        <w:t xml:space="preserve">from eight to two</w:t>
      </w:r>
      <w:r>
        <w:t xml:space="preserve">”</w:t>
      </w:r>
      <w:r>
        <w:t xml:space="preserve">); Intelligence Oversight Act of 1980, Pub. L. No. 96-450.</w:t>
      </w:r>
    </w:p>
  </w:footnote>
  <w:footnote w:id="74">
    <w:p>
      <w:pPr>
        <w:pStyle w:val="FootnoteText"/>
      </w:pPr>
      <w:r>
        <w:rPr>
          <w:rStyle w:val="FootnoteReference"/>
        </w:rPr>
        <w:footnoteRef/>
      </w:r>
      <w:r>
        <w:t xml:space="preserve"> </w:t>
      </w:r>
      <w:r>
        <w:t xml:space="preserve">House Committee on Standards of Official Conduct,</w:t>
      </w:r>
      <w:r>
        <w:t xml:space="preserve"> </w:t>
      </w:r>
      <w:r>
        <w:rPr>
          <w:iCs/>
          <w:i/>
        </w:rPr>
        <w:t xml:space="preserve">Report on Investigation Pursuant to H. Res. 1042 Concerning Unauthorized Publication of the Report of the Select Committee on Intelligence</w:t>
      </w:r>
      <w:r>
        <w:t xml:space="preserve">, H. Rept. 94-1754 (Oct. 1, 1976), pp. 2, 42, recording Schorr’s testimony that he gave his copy of the report to Clay Felker, who published it in the</w:t>
      </w:r>
      <w:r>
        <w:t xml:space="preserve"> </w:t>
      </w:r>
      <w:r>
        <w:rPr>
          <w:iCs/>
          <w:i/>
        </w:rPr>
        <w:t xml:space="preserve">Village Voice</w:t>
      </w:r>
      <w:r>
        <w:t xml:space="preserve">.</w:t>
      </w:r>
    </w:p>
  </w:footnote>
  <w:footnote w:id="75">
    <w:p>
      <w:pPr>
        <w:pStyle w:val="FootnoteText"/>
      </w:pPr>
      <w:r>
        <w:rPr>
          <w:rStyle w:val="FootnoteReference"/>
        </w:rPr>
        <w:footnoteRef/>
      </w:r>
      <w:r>
        <w:t xml:space="preserve"> </w:t>
      </w:r>
      <w:r>
        <w:t xml:space="preserve">The accountability outcomes for the four cases. Pike/Church: Richard Helms pleaded nolo contendere in 1977 to two misdemeanor counts under 2 U.S.C. § 192 of failing to testify fully before the Senate Foreign Relations Committee regarding CIA activity in Chile, and received a suspended sentence and a $2,000 fine; see Office of Legal Counsel,</w:t>
      </w:r>
      <w:r>
        <w:t xml:space="preserve"> </w:t>
      </w:r>
      <w:r>
        <w:t xml:space="preserve">“</w:t>
      </w:r>
      <w:r>
        <w:t xml:space="preserve">Richard Helms’ Eligibility Under 5 U.S.C. § 8314 to Receive an Annuity or Retired Pay,</w:t>
      </w:r>
      <w:r>
        <w:t xml:space="preserve">”</w:t>
      </w:r>
      <w:r>
        <w:t xml:space="preserve"> </w:t>
      </w:r>
      <w:r>
        <w:t xml:space="preserve">1 Op. O.L.C. 252 (1977) (plea of nolo contendere to two counts under 2 U.S.C. § 192), and</w:t>
      </w:r>
      <w:r>
        <w:t xml:space="preserve"> </w:t>
      </w:r>
      <w:r>
        <w:t xml:space="preserve">“</w:t>
      </w:r>
      <w:r>
        <w:t xml:space="preserve">Helms Fined $2,000, Term Suspended,</w:t>
      </w:r>
      <w:r>
        <w:t xml:space="preserve">”</w:t>
      </w:r>
      <w:r>
        <w:t xml:space="preserve"> </w:t>
      </w:r>
      <w:r>
        <w:rPr>
          <w:iCs/>
          <w:i/>
        </w:rPr>
        <w:t xml:space="preserve">Washington Post</w:t>
      </w:r>
      <w:r>
        <w:t xml:space="preserve">, November 5, 1977; W. Mark Felt and Edward S. Miller were convicted on November 6, 1980 of conspiracy to violate citizens’ constitutional rights through 1972–1973 warrantless entries and fined by Judge William B. Bryant on December 15, 1980 (UPI,</w:t>
      </w:r>
      <w:r>
        <w:t xml:space="preserve"> </w:t>
      </w:r>
      <w:r>
        <w:t xml:space="preserve">“</w:t>
      </w:r>
      <w:r>
        <w:t xml:space="preserve">Fines, no jail terms in FBI case,</w:t>
      </w:r>
      <w:r>
        <w:t xml:space="preserve">”</w:t>
      </w:r>
      <w:r>
        <w:t xml:space="preserve"> </w:t>
      </w:r>
      <w:r>
        <w:t xml:space="preserve">Dec. 15, 1980; see also the pretrial rulings in</w:t>
      </w:r>
      <w:r>
        <w:t xml:space="preserve"> </w:t>
      </w:r>
      <w:r>
        <w:rPr>
          <w:iCs/>
          <w:i/>
        </w:rPr>
        <w:t xml:space="preserve">United States v. Felt</w:t>
      </w:r>
      <w:r>
        <w:t xml:space="preserve">, 502 F. Supp. 71 (D.D.C. 1980), and the indictment described in</w:t>
      </w:r>
      <w:r>
        <w:t xml:space="preserve"> </w:t>
      </w:r>
      <w:r>
        <w:rPr>
          <w:iCs/>
          <w:i/>
        </w:rPr>
        <w:t xml:space="preserve">United States v. Gray</w:t>
      </w:r>
      <w:r>
        <w:t xml:space="preserve">, 502 F. Supp. 150 (D.D.C. 1980)), then pardoned while their appeal was pending, Ronald Reagan,</w:t>
      </w:r>
      <w:r>
        <w:t xml:space="preserve"> </w:t>
      </w:r>
      <w:r>
        <w:t xml:space="preserve">“</w:t>
      </w:r>
      <w:r>
        <w:t xml:space="preserve">Statement on Granting Pardons to W. Mark Felt and Edward S. Miller,</w:t>
      </w:r>
      <w:r>
        <w:t xml:space="preserve">”</w:t>
      </w:r>
      <w:r>
        <w:t xml:space="preserve"> </w:t>
      </w:r>
      <w:r>
        <w:t xml:space="preserve">April 15, 1981. Iran-Contra: the</w:t>
      </w:r>
      <w:r>
        <w:t xml:space="preserve"> </w:t>
      </w:r>
      <w:r>
        <w:rPr>
          <w:iCs/>
          <w:i/>
        </w:rPr>
        <w:t xml:space="preserve">North</w:t>
      </w:r>
      <w:r>
        <w:t xml:space="preserve"> </w:t>
      </w:r>
      <w:r>
        <w:t xml:space="preserve">conviction was vacated and the</w:t>
      </w:r>
      <w:r>
        <w:t xml:space="preserve"> </w:t>
      </w:r>
      <w:r>
        <w:rPr>
          <w:iCs/>
          <w:i/>
        </w:rPr>
        <w:t xml:space="preserve">Poindexter</w:t>
      </w:r>
      <w:r>
        <w:t xml:space="preserve"> </w:t>
      </w:r>
      <w:r>
        <w:t xml:space="preserve">conviction reversed on use-immunity grounds, and McFarlane’s guilty plea remained in the historical record after his December 24, 1992 pardon, as documented in the Iran-Contra case narrative and its sources above. NSA bulk collection: Holder acknowledged member requests concerning Clapper; no charge is established in the reviewed record, per the NSA case narrative above. CIA Interrogation Program: the Durham review closed with no charges, the OPR professional-misconduct finding was reduced by Margolis without discipline, and both CIA-personnel and committee-staff conduct were referred in the computer-search dispute, per the CIA Interrogation Program case narrative above.</w:t>
      </w:r>
    </w:p>
  </w:footnote>
  <w:footnote w:id="77">
    <w:p>
      <w:pPr>
        <w:pStyle w:val="FootnoteText"/>
      </w:pPr>
      <w:r>
        <w:rPr>
          <w:rStyle w:val="FootnoteReference"/>
        </w:rPr>
        <w:footnoteRef/>
      </w:r>
      <w:r>
        <w:t xml:space="preserve"> </w:t>
      </w:r>
      <w:r>
        <w:t xml:space="preserve">On the Nicaragua-side rupture that preceded</w:t>
      </w:r>
      <w:r>
        <w:t xml:space="preserve"> </w:t>
      </w:r>
      <w:r>
        <w:rPr>
          <w:iCs/>
          <w:i/>
        </w:rPr>
        <w:t xml:space="preserve">Ash-Shiraa</w:t>
      </w:r>
      <w:r>
        <w:t xml:space="preserve">: a C-123 cargo plane carrying military supplies to the Contras was shot down over southern Nicaragua on October 5, 1986, and its captured surviving crew member, Eugene Hasenfus, publicly stated that the flight was a CIA-assisted weapons-resupply operation. Doyle McManus,</w:t>
      </w:r>
      <w:r>
        <w:t xml:space="preserve"> </w:t>
      </w:r>
      <w:r>
        <w:t xml:space="preserve">“</w:t>
      </w:r>
      <w:r>
        <w:t xml:space="preserve">Downed Plane Not Ours, Shultz Says,</w:t>
      </w:r>
      <w:r>
        <w:t xml:space="preserve">”</w:t>
      </w:r>
      <w:r>
        <w:t xml:space="preserve"> </w:t>
      </w:r>
      <w:r>
        <w:rPr>
          <w:iCs/>
          <w:i/>
        </w:rPr>
        <w:t xml:space="preserve">Los Angeles Times</w:t>
      </w:r>
      <w:r>
        <w:t xml:space="preserve">, October 8, 1986;</w:t>
      </w:r>
      <w:r>
        <w:t xml:space="preserve"> </w:t>
      </w:r>
      <w:r>
        <w:t xml:space="preserve">“</w:t>
      </w:r>
      <w:r>
        <w:t xml:space="preserve">Shot Down on 10th Flight, Captured American Says: Asserts CIA Assisted in Operation,</w:t>
      </w:r>
      <w:r>
        <w:t xml:space="preserve">”</w:t>
      </w:r>
      <w:r>
        <w:t xml:space="preserve"> </w:t>
      </w:r>
      <w:r>
        <w:t xml:space="preserve">Associated Press /</w:t>
      </w:r>
      <w:r>
        <w:t xml:space="preserve"> </w:t>
      </w:r>
      <w:r>
        <w:rPr>
          <w:iCs/>
          <w:i/>
        </w:rPr>
        <w:t xml:space="preserve">Los Angeles Times</w:t>
      </w:r>
      <w:r>
        <w:t xml:space="preserve">, October 9, 1986. The Hasenfus disclosure and the</w:t>
      </w:r>
      <w:r>
        <w:t xml:space="preserve"> </w:t>
      </w:r>
      <w:r>
        <w:rPr>
          <w:iCs/>
          <w:i/>
        </w:rPr>
        <w:t xml:space="preserve">Ash-Shiraa</w:t>
      </w:r>
      <w:r>
        <w:t xml:space="preserve"> </w:t>
      </w:r>
      <w:r>
        <w:t xml:space="preserve">report a month later were the two external ruptures that exposed the Contra and Iran halves of the operation and spurred the congressional inquiry.</w:t>
      </w:r>
    </w:p>
  </w:footnote>
  <w:footnote w:id="78">
    <w:p>
      <w:pPr>
        <w:pStyle w:val="FootnoteText"/>
      </w:pPr>
      <w:r>
        <w:rPr>
          <w:rStyle w:val="FootnoteReference"/>
        </w:rPr>
        <w:footnoteRef/>
      </w:r>
      <w:r>
        <w:t xml:space="preserve"> </w:t>
      </w:r>
      <w:r>
        <w:t xml:space="preserve">The Boland Amendment series is conventionally grouped in three phases: Boland I (Pub. L. No. 97-377, § 793, fiscal 1983 appropriations, effective December 21, 1982), Boland II (Pub. L. No. 98-473, § 8066, continuing appropriations for fiscal 1985, October 12, 1984), and Boland III (Intelligence Authorization Act for Fiscal Year 1986, Pub. L. No. 99-169, § 105, and fiscal 1986 continuing appropriations, Pub. L. No. 99-190, § 8050).</w:t>
      </w:r>
      <w:r>
        <w:t xml:space="preserve"> </w:t>
      </w:r>
      <w:r>
        <w:rPr>
          <w:iCs/>
          <w:i/>
        </w:rPr>
        <w:t xml:space="preserve">Report of the Congressional Committees Investigating the Iran-Contra Affair</w:t>
      </w:r>
      <w:r>
        <w:t xml:space="preserve">, Preface, p. xv (the</w:t>
      </w:r>
      <w:r>
        <w:t xml:space="preserve"> </w:t>
      </w:r>
      <w:r>
        <w:rPr>
          <w:iCs/>
          <w:i/>
        </w:rPr>
        <w:t xml:space="preserve">Ash-Shiraa</w:t>
      </w:r>
      <w:r>
        <w:t xml:space="preserve"> </w:t>
      </w:r>
      <w:r>
        <w:t xml:space="preserve">report of November 3, 1986); Executive Summary, p. 10 (the Attorney General’s November 25, 1986 press conference); and p. 399 (</w:t>
      </w:r>
      <w:r>
        <w:t xml:space="preserve">“</w:t>
      </w:r>
      <w:r>
        <w:t xml:space="preserve">The Administration has asserted that Boland II did not apply to the NSC staff</w:t>
      </w:r>
      <w:r>
        <w:t xml:space="preserve">”</w:t>
      </w:r>
      <w:r>
        <w:t xml:space="preserve">; the committees found those</w:t>
      </w:r>
      <w:r>
        <w:t xml:space="preserve"> </w:t>
      </w:r>
      <w:r>
        <w:t xml:space="preserve">“</w:t>
      </w:r>
      <w:r>
        <w:t xml:space="preserve">post hoc arguments … not persuasive</w:t>
      </w:r>
      <w:r>
        <w:t xml:space="preserve">”</w:t>
      </w:r>
      <w:r>
        <w:t xml:space="preserve">). Separate Senate and House select committees were established by S. Res. 23 on January 6 and H. Res. 12 on January 7, 1987; they conducted joint hearings and issued a joint report.</w:t>
      </w:r>
    </w:p>
  </w:footnote>
  <w:footnote w:id="79">
    <w:p>
      <w:pPr>
        <w:pStyle w:val="FootnoteText"/>
      </w:pPr>
      <w:r>
        <w:rPr>
          <w:rStyle w:val="FootnoteReference"/>
        </w:rPr>
        <w:footnoteRef/>
      </w:r>
      <w:r>
        <w:t xml:space="preserve"> </w:t>
      </w:r>
      <w:r>
        <w:t xml:space="preserve">Walsh,</w:t>
      </w:r>
      <w:r>
        <w:t xml:space="preserve"> </w:t>
      </w:r>
      <w:r>
        <w:rPr>
          <w:iCs/>
          <w:i/>
        </w:rPr>
        <w:t xml:space="preserve">Final Report</w:t>
      </w:r>
      <w:r>
        <w:t xml:space="preserve">, vol. 1, pp. xvii (</w:t>
      </w:r>
      <w:r>
        <w:t xml:space="preserve">“</w:t>
      </w:r>
      <w:r>
        <w:t xml:space="preserve">Contemporaneous notes of Regan and Weinberger, and those dictated by Shultz, were withheld until they were obtained by Independent Counsel in 1991 and 1992</w:t>
      </w:r>
      <w:r>
        <w:t xml:space="preserve">”</w:t>
      </w:r>
      <w:r>
        <w:t xml:space="preserve">), xviii (</w:t>
      </w:r>
      <w:r>
        <w:t xml:space="preserve">“</w:t>
      </w:r>
      <w:r>
        <w:t xml:space="preserve">Regan in 1992 provided Independent Counsel with copies of notes</w:t>
      </w:r>
      <w:r>
        <w:t xml:space="preserve">”</w:t>
      </w:r>
      <w:r>
        <w:t xml:space="preserve">; in December 1992 the office learned that Bush</w:t>
      </w:r>
      <w:r>
        <w:t xml:space="preserve"> </w:t>
      </w:r>
      <w:r>
        <w:t xml:space="preserve">“</w:t>
      </w:r>
      <w:r>
        <w:t xml:space="preserve">had failed to produce a diary</w:t>
      </w:r>
      <w:r>
        <w:t xml:space="preserve">”</w:t>
      </w:r>
      <w:r>
        <w:t xml:space="preserve">;</w:t>
      </w:r>
      <w:r>
        <w:t xml:space="preserve"> </w:t>
      </w:r>
      <w:r>
        <w:t xml:space="preserve">“</w:t>
      </w:r>
      <w:r>
        <w:t xml:space="preserve">The statute of limitations had run on November 1986 activities before OIC obtained its evidence</w:t>
      </w:r>
      <w:r>
        <w:t xml:space="preserve">”</w:t>
      </w:r>
      <w:r>
        <w:t xml:space="preserve">), xix (of the Hill and Platt notes of Shultz’s meetings,</w:t>
      </w:r>
      <w:r>
        <w:t xml:space="preserve"> </w:t>
      </w:r>
      <w:r>
        <w:t xml:space="preserve">“</w:t>
      </w:r>
      <w:r>
        <w:t xml:space="preserve">The most revealing of these notes were not provided to any Iran/contra investigation until 1990 and 1991</w:t>
      </w:r>
      <w:r>
        <w:t xml:space="preserve">”</w:t>
      </w:r>
      <w:r>
        <w:t xml:space="preserve">), xx (Weinberger’s notes,</w:t>
      </w:r>
      <w:r>
        <w:t xml:space="preserve"> </w:t>
      </w:r>
      <w:r>
        <w:t xml:space="preserve">“</w:t>
      </w:r>
      <w:r>
        <w:t xml:space="preserve">which he deliberately withheld from Congress and the OIC until they were discovered by Independent Counsel in late 1991</w:t>
      </w:r>
      <w:r>
        <w:t xml:space="preserve">”</w:t>
      </w:r>
      <w:r>
        <w:t xml:space="preserve">), 24 (Meese</w:t>
      </w:r>
      <w:r>
        <w:t xml:space="preserve"> </w:t>
      </w:r>
      <w:r>
        <w:t xml:space="preserve">“</w:t>
      </w:r>
      <w:r>
        <w:t xml:space="preserve">gathered his team around mid-day on November 21, 1986</w:t>
      </w:r>
      <w:r>
        <w:t xml:space="preserve">”</w:t>
      </w:r>
      <w:r>
        <w:t xml:space="preserve">; North</w:t>
      </w:r>
      <w:r>
        <w:t xml:space="preserve"> </w:t>
      </w:r>
      <w:r>
        <w:t xml:space="preserve">“</w:t>
      </w:r>
      <w:r>
        <w:t xml:space="preserve">returned to his offices in the early evening of November 21 and shredded stacks of memoranda and messages</w:t>
      </w:r>
      <w:r>
        <w:t xml:space="preserve">”</w:t>
      </w:r>
      <w:r>
        <w:t xml:space="preserve">), and 25 (the FBI’s criminal investigation began November 26, 1986; Independent Counsel was appointed on December 19, 1986; the select committees were established on January 6 and 7, 1987).</w:t>
      </w:r>
      <w:r>
        <w:t xml:space="preserve"> </w:t>
      </w:r>
      <w:r>
        <w:rPr>
          <w:iCs/>
          <w:i/>
        </w:rPr>
        <w:t xml:space="preserve">Report of the Congressional Committees Investigating the Iran-Contra Affair</w:t>
      </w:r>
      <w:r>
        <w:t xml:space="preserve">, letter of transmittal of November 17, 1987, and Preface, p. xvi (NSC staff</w:t>
      </w:r>
      <w:r>
        <w:t xml:space="preserve"> </w:t>
      </w:r>
      <w:r>
        <w:t xml:space="preserve">“</w:t>
      </w:r>
      <w:r>
        <w:t xml:space="preserve">shredded relevant contemporaneous documents in the fall of 1986</w:t>
      </w:r>
      <w:r>
        <w:t xml:space="preserve">”</w:t>
      </w:r>
      <w:r>
        <w:t xml:space="preserve">), and Executive Summary, p. 10 (after learning</w:t>
      </w:r>
      <w:r>
        <w:t xml:space="preserve"> </w:t>
      </w:r>
      <w:r>
        <w:t xml:space="preserve">“</w:t>
      </w:r>
      <w:r>
        <w:t xml:space="preserve">that the President had authorized the Attorney General to gather the relevant facts,</w:t>
      </w:r>
      <w:r>
        <w:t xml:space="preserve">”</w:t>
      </w:r>
      <w:r>
        <w:t xml:space="preserve"> </w:t>
      </w:r>
      <w:r>
        <w:t xml:space="preserve">North and Poindexter</w:t>
      </w:r>
      <w:r>
        <w:t xml:space="preserve"> </w:t>
      </w:r>
      <w:r>
        <w:t xml:space="preserve">“</w:t>
      </w:r>
      <w:r>
        <w:t xml:space="preserve">shredded and altered official documents on November 21, 1986, and later that weekend</w:t>
      </w:r>
      <w:r>
        <w:t xml:space="preserve">”</w:t>
      </w:r>
      <w:r>
        <w:t xml:space="preserve">). The President’s review board reported on February 26, 1987:</w:t>
      </w:r>
      <w:r>
        <w:t xml:space="preserve"> </w:t>
      </w:r>
      <w:r>
        <w:rPr>
          <w:iCs/>
          <w:i/>
        </w:rPr>
        <w:t xml:space="preserve">Report of the President’s Special Review Board</w:t>
      </w:r>
      <w:r>
        <w:t xml:space="preserve">, John Tower, Chairman (Washington: Government Printing Office, 1987), as listed among the sources of the congressional report.</w:t>
      </w:r>
    </w:p>
  </w:footnote>
  <w:footnote w:id="80">
    <w:p>
      <w:pPr>
        <w:pStyle w:val="FootnoteText"/>
      </w:pPr>
      <w:r>
        <w:rPr>
          <w:rStyle w:val="FootnoteReference"/>
        </w:rPr>
        <w:footnoteRef/>
      </w:r>
      <w:r>
        <w:t xml:space="preserve"> </w:t>
      </w:r>
      <w:r>
        <w:t xml:space="preserve">18 U.S.C. §§ 6002, 6005 (immunity orders on the application of a congressional committee). Walsh,</w:t>
      </w:r>
      <w:r>
        <w:t xml:space="preserve"> </w:t>
      </w:r>
      <w:r>
        <w:rPr>
          <w:iCs/>
          <w:i/>
        </w:rPr>
        <w:t xml:space="preserve">Final Report</w:t>
      </w:r>
      <w:r>
        <w:t xml:space="preserve">, vol. 1, p. 33 (</w:t>
      </w:r>
      <w:r>
        <w:t xml:space="preserve">“</w:t>
      </w:r>
      <w:r>
        <w:t xml:space="preserve">A compromise was reached between OIC and the Committees in March 1987, setting the timing for immunity grants for North and Poindexter</w:t>
      </w:r>
      <w:r>
        <w:t xml:space="preserve">”</w:t>
      </w:r>
      <w:r>
        <w:t xml:space="preserve">).</w:t>
      </w:r>
      <w:r>
        <w:t xml:space="preserve"> </w:t>
      </w:r>
      <w:r>
        <w:rPr>
          <w:iCs/>
          <w:i/>
        </w:rPr>
        <w:t xml:space="preserve">Report of the Congressional Committees Investigating the Iran-Contra Affair</w:t>
      </w:r>
      <w:r>
        <w:t xml:space="preserve">, Appendix, p. 687 (the June 15, 1987 order compelling North to testify); the report cites North’s public testimony on dates from July 7 to July 14, 1987 and Poindexter’s from July 15 to July 21, 1987.</w:t>
      </w:r>
    </w:p>
  </w:footnote>
  <w:footnote w:id="81">
    <w:p>
      <w:pPr>
        <w:pStyle w:val="FootnoteText"/>
      </w:pPr>
      <w:r>
        <w:rPr>
          <w:rStyle w:val="FootnoteReference"/>
        </w:rPr>
        <w:footnoteRef/>
      </w:r>
      <w:r>
        <w:t xml:space="preserve"> </w:t>
      </w:r>
      <w:r>
        <w:t xml:space="preserve">Charles J. Cooper,</w:t>
      </w:r>
      <w:r>
        <w:t xml:space="preserve"> </w:t>
      </w:r>
      <w:r>
        <w:t xml:space="preserve">“</w:t>
      </w:r>
      <w:r>
        <w:t xml:space="preserve">The President’s Compliance with the</w:t>
      </w:r>
      <w:r>
        <w:t xml:space="preserve"> </w:t>
      </w:r>
      <w:r>
        <w:t xml:space="preserve">‘</w:t>
      </w:r>
      <w:r>
        <w:t xml:space="preserve">Timely Notification</w:t>
      </w:r>
      <w:r>
        <w:t xml:space="preserve">’</w:t>
      </w:r>
      <w:r>
        <w:t xml:space="preserve"> </w:t>
      </w:r>
      <w:r>
        <w:t xml:space="preserve">Requirement of Section 501(b) of the National Security Act,</w:t>
      </w:r>
      <w:r>
        <w:t xml:space="preserve">”</w:t>
      </w:r>
      <w:r>
        <w:t xml:space="preserve"> </w:t>
      </w:r>
      <w:r>
        <w:t xml:space="preserve">10 Op. O.L.C. 159 (1986) (memorandum opinion for the Attorney General, December 17, 1986); Ronald Reagan, National Security Decision Directive 286,</w:t>
      </w:r>
      <w:r>
        <w:t xml:space="preserve"> </w:t>
      </w:r>
      <w:r>
        <w:t xml:space="preserve">“</w:t>
      </w:r>
      <w:r>
        <w:t xml:space="preserve">Approval and Review of Special Activities,</w:t>
      </w:r>
      <w:r>
        <w:t xml:space="preserve">”</w:t>
      </w:r>
      <w:r>
        <w:t xml:space="preserve"> </w:t>
      </w:r>
      <w:r>
        <w:t xml:space="preserve">October 15, 1987, §§ II.A.1 (</w:t>
      </w:r>
      <w:r>
        <w:t xml:space="preserve">“</w:t>
      </w:r>
      <w:r>
        <w:t xml:space="preserve">No Finding may retroactively authorize or sanction a special activity</w:t>
      </w:r>
      <w:r>
        <w:t xml:space="preserve">”</w:t>
      </w:r>
      <w:r>
        <w:t xml:space="preserve">), II.G.1, and II.G.4 (where notice is delayed,</w:t>
      </w:r>
      <w:r>
        <w:t xml:space="preserve"> </w:t>
      </w:r>
      <w:r>
        <w:t xml:space="preserve">“</w:t>
      </w:r>
      <w:r>
        <w:t xml:space="preserve">Unless the President otherwise directs, not later than two working days after the President signs a Finding or associated MON, if any, the Intelligence Committees shall be notified</w:t>
      </w:r>
      <w:r>
        <w:t xml:space="preserve">”</w:t>
      </w:r>
      <w:r>
        <w:t xml:space="preserve">) (declassified extract, Ronald Reagan Presidential Library, https://www.reaganlibrary.gov/public/archives/reference/scanned-nsdds/nsdd286.pdf); Minority Report, in</w:t>
      </w:r>
      <w:r>
        <w:t xml:space="preserve"> </w:t>
      </w:r>
      <w:r>
        <w:rPr>
          <w:iCs/>
          <w:i/>
        </w:rPr>
        <w:t xml:space="preserve">Report of the Congressional Committees Investigating the Iran-Contra Affair</w:t>
      </w:r>
      <w:r>
        <w:t xml:space="preserve">, 431–633; President George H. W. Bush to Senator David L. Boren, Chairman, Senate Select Committee on Intelligence, October 30, 1989 (copy in the holdings of the National Security Archive, George Washington University); Office of the Vice President,</w:t>
      </w:r>
      <w:r>
        <w:t xml:space="preserve"> </w:t>
      </w:r>
      <w:r>
        <w:t xml:space="preserve">“</w:t>
      </w:r>
      <w:r>
        <w:t xml:space="preserve">Vice President’s Remarks to the Traveling Press,</w:t>
      </w:r>
      <w:r>
        <w:t xml:space="preserve">”</w:t>
      </w:r>
      <w:r>
        <w:t xml:space="preserve"> </w:t>
      </w:r>
      <w:r>
        <w:t xml:space="preserve">Air Force Two, en route to Muscat, Oman, December 20, 2005, https://georgewbush-whitehouse.archives.gov/news/releases/2005/12/20051220-9.html. Zivotofsky v. Kerry, 576 U.S. 1, 10–16, 20–22 (2015), declined the broad sole-organ claim attributed to Curtiss-Wright; recognition exclusivity rests on the Reception Clause and constitutional structure. It did not narrow a general sole-organ doctrine to a recognition exception. The continuity argument is structural and bounded by the three-document citation audit, not proof that the minority report caused later OLC doctrine.</w:t>
      </w:r>
    </w:p>
  </w:footnote>
  <w:footnote w:id="82">
    <w:p>
      <w:pPr>
        <w:pStyle w:val="FootnoteText"/>
      </w:pPr>
      <w:r>
        <w:rPr>
          <w:rStyle w:val="FootnoteReference"/>
        </w:rPr>
        <w:footnoteRef/>
      </w:r>
      <w:r>
        <w:t xml:space="preserve"> </w:t>
      </w:r>
      <w:r>
        <w:t xml:space="preserve">The directly searchable audit universe is three primary DOJ texts: John Yoo, The President’s Constitutional Authority to Conduct Military Operations Against Terrorists and Nations Supporting Them, September 25, 2001 (SHA256 f7270cafc41315ca30a27e4efe75714063f276482412719cc025fe94ed3cce59); Yoo and Robert Delahunty, Authority for Use of Military Force To Combat Terrorist Activities Within the United States, October 23, 2001 (6506ab6baf596c3f2f43f74876db662753d082003d3f86cac161ba0c73cce700); Yoo, Applicability of 18 U.S.C. § 4001(a) to Military Detention of United States Citizens, June 27, 2002 (7289c7561653c94cde2ef81001a37ed65945d2222244cfdfef3f98e41d89703b). Hashes identify the held text extractions, available on request. Whole-text case-insensitive searches for Cooper, Boren, NSDD[- ]286, Cheney, Iran[- ]Contra, minority report/views, 100-433 and 100-216 were checked in context. The September 25 Cheney hit concerns 1991 Gulf War remarks and its Iran-Contra hit cites Koh; neither is a citation to the notification chain. No chain citation was found in this bounded universe. It does not cover other opinions, redacted text, unsearchable material, or indirect borrowing.</w:t>
      </w:r>
    </w:p>
  </w:footnote>
  <w:footnote w:id="83">
    <w:p>
      <w:pPr>
        <w:pStyle w:val="FootnoteText"/>
      </w:pPr>
      <w:r>
        <w:rPr>
          <w:rStyle w:val="FootnoteReference"/>
        </w:rPr>
        <w:footnoteRef/>
      </w:r>
      <w:r>
        <w:t xml:space="preserve"> </w:t>
      </w:r>
      <w:r>
        <w:t xml:space="preserve">Snider,</w:t>
      </w:r>
      <w:r>
        <w:t xml:space="preserve"> </w:t>
      </w:r>
      <w:r>
        <w:rPr>
          <w:iCs/>
          <w:i/>
        </w:rPr>
        <w:t xml:space="preserve">Agency and the Hill</w:t>
      </w:r>
      <w:r>
        <w:t xml:space="preserve">, 66–68 (the recommendations of notice</w:t>
      </w:r>
      <w:r>
        <w:t xml:space="preserve"> </w:t>
      </w:r>
      <w:r>
        <w:t xml:space="preserve">“</w:t>
      </w:r>
      <w:r>
        <w:t xml:space="preserve">no later than 48 hours</w:t>
      </w:r>
      <w:r>
        <w:t xml:space="preserve">”</w:t>
      </w:r>
      <w:r>
        <w:t xml:space="preserve"> </w:t>
      </w:r>
      <w:r>
        <w:t xml:space="preserve">after a finding, written findings, and no retroactive findings; the two administrations’ position:</w:t>
      </w:r>
      <w:r>
        <w:t xml:space="preserve"> </w:t>
      </w:r>
      <w:r>
        <w:t xml:space="preserve">“</w:t>
      </w:r>
      <w:r>
        <w:t xml:space="preserve">While they were willing to compromise on the subsidiary issues (such as requiring findings to be in writing and the prohibition of retroactive findings) they would not accept a strict 48-hour time limit</w:t>
      </w:r>
      <w:r>
        <w:t xml:space="preserve">”</w:t>
      </w:r>
      <w:r>
        <w:t xml:space="preserve">;</w:t>
      </w:r>
      <w:r>
        <w:t xml:space="preserve"> </w:t>
      </w:r>
      <w:r>
        <w:t xml:space="preserve">“</w:t>
      </w:r>
      <w:r>
        <w:t xml:space="preserve">The impasse lasted for almost four years</w:t>
      </w:r>
      <w:r>
        <w:t xml:space="preserve">”</w:t>
      </w:r>
      <w:r>
        <w:t xml:space="preserve">; legislation that</w:t>
      </w:r>
      <w:r>
        <w:t xml:space="preserve"> </w:t>
      </w:r>
      <w:r>
        <w:t xml:space="preserve">“</w:t>
      </w:r>
      <w:r>
        <w:t xml:space="preserve">on one occasion, was vetoed</w:t>
      </w:r>
      <w:r>
        <w:t xml:space="preserve">”</w:t>
      </w:r>
      <w:r>
        <w:t xml:space="preserve">; the 1991 compromise, in which the</w:t>
      </w:r>
      <w:r>
        <w:t xml:space="preserve"> </w:t>
      </w:r>
      <w:r>
        <w:t xml:space="preserve">“</w:t>
      </w:r>
      <w:r>
        <w:t xml:space="preserve">timely notice</w:t>
      </w:r>
      <w:r>
        <w:t xml:space="preserve">”</w:t>
      </w:r>
      <w:r>
        <w:t xml:space="preserve"> </w:t>
      </w:r>
      <w:r>
        <w:t xml:space="preserve">language remained in the law and the conference report recorded the President’s commitment to notify</w:t>
      </w:r>
      <w:r>
        <w:t xml:space="preserve"> </w:t>
      </w:r>
      <w:r>
        <w:t xml:space="preserve">“</w:t>
      </w:r>
      <w:r>
        <w:t xml:space="preserve">within a few days</w:t>
      </w:r>
      <w:r>
        <w:t xml:space="preserve">”</w:t>
      </w:r>
      <w:r>
        <w:t xml:space="preserve">) and 68 (</w:t>
      </w:r>
      <w:r>
        <w:t xml:space="preserve">“</w:t>
      </w:r>
      <w:r>
        <w:t xml:space="preserve">The Creation of a Statutory Inspector General for the CIA: 1989</w:t>
      </w:r>
      <w:r>
        <w:t xml:space="preserve">”</w:t>
      </w:r>
      <w:r>
        <w:t xml:space="preserve">). Intelligence Authorization Act, Fiscal Year 1991, Pub. L. No. 102-88, title VI, § 602(a)(2), 105 Stat. 442 (1991), codified at 50 U.S.C. § 3093 (a finding</w:t>
      </w:r>
      <w:r>
        <w:t xml:space="preserve"> </w:t>
      </w:r>
      <w:r>
        <w:t xml:space="preserve">“</w:t>
      </w:r>
      <w:r>
        <w:t xml:space="preserve">shall be in writing</w:t>
      </w:r>
      <w:r>
        <w:t xml:space="preserve">”</w:t>
      </w:r>
      <w:r>
        <w:t xml:space="preserve"> </w:t>
      </w:r>
      <w:r>
        <w:t xml:space="preserve">and</w:t>
      </w:r>
      <w:r>
        <w:t xml:space="preserve"> </w:t>
      </w:r>
      <w:r>
        <w:t xml:space="preserve">“</w:t>
      </w:r>
      <w:r>
        <w:t xml:space="preserve">may not authorize or sanction a covert action … which already has occurred</w:t>
      </w:r>
      <w:r>
        <w:t xml:space="preserve">”</w:t>
      </w:r>
      <w:r>
        <w:t xml:space="preserve">; statutory definition of covert action in § 3093(e)). President George H. W. Bush to Senator David Boren, October 30, 1989 (</w:t>
      </w:r>
      <w:r>
        <w:t xml:space="preserve">“</w:t>
      </w:r>
      <w:r>
        <w:t xml:space="preserve">I anticipate that notice will be provided within a few days. Any withholding beyond this period would be based upon my assertion of the authorities granted this office by the Constitution.</w:t>
      </w:r>
      <w:r>
        <w:t xml:space="preserve">”</w:t>
      </w:r>
      <w:r>
        <w:t xml:space="preserve">). NSDD-286, October 15, 1987 (</w:t>
      </w:r>
      <w:r>
        <w:t xml:space="preserve">“</w:t>
      </w:r>
      <w:r>
        <w:t xml:space="preserve">No Finding may retroactively authorize or sanction a special activity</w:t>
      </w:r>
      <w:r>
        <w:t xml:space="preserve">”</w:t>
      </w:r>
      <w:r>
        <w:t xml:space="preserve">).</w:t>
      </w:r>
    </w:p>
  </w:footnote>
  <w:footnote w:id="84">
    <w:p>
      <w:pPr>
        <w:pStyle w:val="FootnoteText"/>
      </w:pPr>
      <w:r>
        <w:rPr>
          <w:rStyle w:val="FootnoteReference"/>
        </w:rPr>
        <w:footnoteRef/>
      </w:r>
      <w:r>
        <w:t xml:space="preserve"> </w:t>
      </w:r>
      <w:r>
        <w:rPr>
          <w:iCs/>
          <w:i/>
        </w:rPr>
        <w:t xml:space="preserve">United States v. North</w:t>
      </w:r>
      <w:r>
        <w:t xml:space="preserve">, 910 F.2d 843 (D.C. Cir. 1990) (convictions vacated and remanded for a</w:t>
      </w:r>
      <w:r>
        <w:t xml:space="preserve"> </w:t>
      </w:r>
      <w:r>
        <w:rPr>
          <w:iCs/>
          <w:i/>
        </w:rPr>
        <w:t xml:space="preserve">Kastigar</w:t>
      </w:r>
      <w:r>
        <w:t xml:space="preserve"> </w:t>
      </w:r>
      <w:r>
        <w:t xml:space="preserve">hearing);</w:t>
      </w:r>
      <w:r>
        <w:t xml:space="preserve"> </w:t>
      </w:r>
      <w:r>
        <w:rPr>
          <w:iCs/>
          <w:i/>
        </w:rPr>
        <w:t xml:space="preserve">United States v. Poindexter</w:t>
      </w:r>
      <w:r>
        <w:t xml:space="preserve">, 951 F.2d 369, 379 (D.C. Cir. 1991) (convictions reversed; the majority also held that the term</w:t>
      </w:r>
      <w:r>
        <w:t xml:space="preserve"> </w:t>
      </w:r>
      <w:r>
        <w:t xml:space="preserve">“</w:t>
      </w:r>
      <w:r>
        <w:t xml:space="preserve">corruptly</w:t>
      </w:r>
      <w:r>
        <w:t xml:space="preserve">”</w:t>
      </w:r>
      <w:r>
        <w:t xml:space="preserve"> </w:t>
      </w:r>
      <w:r>
        <w:t xml:space="preserve">in 18 U.S.C. § 1505 was</w:t>
      </w:r>
      <w:r>
        <w:t xml:space="preserve"> </w:t>
      </w:r>
      <w:r>
        <w:t xml:space="preserve">“</w:t>
      </w:r>
      <w:r>
        <w:t xml:space="preserve">too vague to provide constitutionally adequate notice that it prohibits lying to the Congress</w:t>
      </w:r>
      <w:r>
        <w:t xml:space="preserve">”</w:t>
      </w:r>
      <w:r>
        <w:t xml:space="preserve">). Both turned on the rule that the prosecution must prove its trial evidence independent of the immunized testimony,</w:t>
      </w:r>
      <w:r>
        <w:t xml:space="preserve"> </w:t>
      </w:r>
      <w:r>
        <w:rPr>
          <w:iCs/>
          <w:i/>
        </w:rPr>
        <w:t xml:space="preserve">Kastigar v. United States</w:t>
      </w:r>
      <w:r>
        <w:t xml:space="preserve">, 406 U.S. 441 (1972). Judge Gesell dismissed the North case on September 16, 1991, on the Independent Counsel’s motion: Walsh,</w:t>
      </w:r>
      <w:r>
        <w:t xml:space="preserve"> </w:t>
      </w:r>
      <w:r>
        <w:rPr>
          <w:iCs/>
          <w:i/>
        </w:rPr>
        <w:t xml:space="preserve">Final Report</w:t>
      </w:r>
      <w:r>
        <w:t xml:space="preserve">, vol. 1, p. xxiv.</w:t>
      </w:r>
    </w:p>
  </w:footnote>
  <w:footnote w:id="85">
    <w:p>
      <w:pPr>
        <w:pStyle w:val="FootnoteText"/>
      </w:pPr>
      <w:r>
        <w:rPr>
          <w:rStyle w:val="FootnoteReference"/>
        </w:rPr>
        <w:footnoteRef/>
      </w:r>
      <w:r>
        <w:t xml:space="preserve"> </w:t>
      </w:r>
      <w:r>
        <w:t xml:space="preserve">Walsh,</w:t>
      </w:r>
      <w:r>
        <w:t xml:space="preserve"> </w:t>
      </w:r>
      <w:r>
        <w:rPr>
          <w:iCs/>
          <w:i/>
        </w:rPr>
        <w:t xml:space="preserve">Final Report</w:t>
      </w:r>
      <w:r>
        <w:t xml:space="preserve">, vol. 1,</w:t>
      </w:r>
      <w:r>
        <w:t xml:space="preserve"> </w:t>
      </w:r>
      <w:r>
        <w:t xml:space="preserve">“</w:t>
      </w:r>
      <w:r>
        <w:t xml:space="preserve">Summary of Prosecutions,</w:t>
      </w:r>
      <w:r>
        <w:t xml:space="preserve">”</w:t>
      </w:r>
      <w:r>
        <w:t xml:space="preserve"> </w:t>
      </w:r>
      <w:r>
        <w:t xml:space="preserve">printed pp. xxiii–xxv: fourteen charged, eleven convicted, two convictions overturned; two defendants pardoned before trial. The December 24, 1992 pardons covered convicted defendants McFarlane, Abrams, Fiers and George, and pretrial defendants Weinberger and Clarridge. Pardons do not erase the historical pleas, convictions, or report findings. On the appointment, p. xiii: after Attorney General Meese sought an independent counsel, the court’s Special Division appointed Walsh on December 19, 1986.</w:t>
      </w:r>
    </w:p>
  </w:footnote>
  <w:footnote w:id="87">
    <w:p>
      <w:pPr>
        <w:pStyle w:val="FootnoteText"/>
      </w:pPr>
      <w:r>
        <w:rPr>
          <w:rStyle w:val="FootnoteReference"/>
        </w:rPr>
        <w:footnoteRef/>
      </w:r>
      <w:r>
        <w:t xml:space="preserve"> </w:t>
      </w:r>
      <w:r>
        <w:t xml:space="preserve">James Risen and Eric Lichtblau,</w:t>
      </w:r>
      <w:r>
        <w:t xml:space="preserve"> </w:t>
      </w:r>
      <w:r>
        <w:t xml:space="preserve">“</w:t>
      </w:r>
      <w:r>
        <w:t xml:space="preserve">Bush Lets U.S. Spy on Callers Without Courts,</w:t>
      </w:r>
      <w:r>
        <w:t xml:space="preserve">”</w:t>
      </w:r>
      <w:r>
        <w:t xml:space="preserve"> </w:t>
      </w:r>
      <w:r>
        <w:rPr>
          <w:iCs/>
          <w:i/>
        </w:rPr>
        <w:t xml:space="preserve">New York Times</w:t>
      </w:r>
      <w:r>
        <w:t xml:space="preserve">, December 16, 2005 (under a presidential order, the agency</w:t>
      </w:r>
      <w:r>
        <w:t xml:space="preserve"> </w:t>
      </w:r>
      <w:r>
        <w:t xml:space="preserve">“</w:t>
      </w:r>
      <w:r>
        <w:t xml:space="preserve">has monitored the international telephone calls and international e-mail messages of hundreds, perhaps thousands, of people inside the United States without warrants</w:t>
      </w:r>
      <w:r>
        <w:t xml:space="preserve">”</w:t>
      </w:r>
      <w:r>
        <w:t xml:space="preserve">); the report did not describe the collection of call records, which</w:t>
      </w:r>
      <w:r>
        <w:t xml:space="preserve"> </w:t>
      </w:r>
      <w:r>
        <w:rPr>
          <w:iCs/>
          <w:i/>
        </w:rPr>
        <w:t xml:space="preserve">USA Today</w:t>
      </w:r>
      <w:r>
        <w:t xml:space="preserve"> </w:t>
      </w:r>
      <w:r>
        <w:t xml:space="preserve">reported in May 2006. NSA Inspector General,</w:t>
      </w:r>
      <w:r>
        <w:t xml:space="preserve"> </w:t>
      </w:r>
      <w:r>
        <w:rPr>
          <w:iCs/>
          <w:i/>
        </w:rPr>
        <w:t xml:space="preserve">Working Draft</w:t>
      </w:r>
      <w:r>
        <w:t xml:space="preserve">, p. 37 (</w:t>
      </w:r>
      <w:r>
        <w:t xml:space="preserve">“</w:t>
      </w:r>
      <w:r>
        <w:t xml:space="preserve">In response to a New York Times</w:t>
      </w:r>
      <w:r>
        <w:t xml:space="preserve"> </w:t>
      </w:r>
      <w:r>
        <w:t xml:space="preserve">‘</w:t>
      </w:r>
      <w:r>
        <w:t xml:space="preserve">warrantless wiretapping</w:t>
      </w:r>
      <w:r>
        <w:t xml:space="preserve">’</w:t>
      </w:r>
      <w:r>
        <w:t xml:space="preserve"> </w:t>
      </w:r>
      <w:r>
        <w:t xml:space="preserve">story published in December 2005, General Alexander briefed all FISC members on the PSP on 9 January 2006</w:t>
      </w:r>
      <w:r>
        <w:t xml:space="preserve">”</w:t>
      </w:r>
      <w:r>
        <w:t xml:space="preserve">). FISA Amendments Act of 2008, Pub. L. No. 110-261, § 201, 122 Stat. 2436, 2467–69 (July 10, 2008) (new FISA § 802(a):</w:t>
      </w:r>
      <w:r>
        <w:t xml:space="preserve"> </w:t>
      </w:r>
      <w:r>
        <w:t xml:space="preserve">“</w:t>
      </w:r>
      <w:r>
        <w:t xml:space="preserve">a civil action may not lie or be maintained in a Federal or State court against any person for providing assistance to an element of the intelligence community, and shall be promptly dismissed, if the Attorney General certifies,</w:t>
      </w:r>
      <w:r>
        <w:t xml:space="preserve">”</w:t>
      </w:r>
      <w:r>
        <w:t xml:space="preserve"> </w:t>
      </w:r>
      <w:r>
        <w:t xml:space="preserve">among other grounds, assistance with an activity</w:t>
      </w:r>
      <w:r>
        <w:t xml:space="preserve"> </w:t>
      </w:r>
      <w:r>
        <w:t xml:space="preserve">“</w:t>
      </w:r>
      <w:r>
        <w:t xml:space="preserve">authorized by the President during the period beginning on September 11, 2001, and ending on January 17, 2007</w:t>
      </w:r>
      <w:r>
        <w:t xml:space="preserve">”</w:t>
      </w:r>
      <w:r>
        <w:t xml:space="preserve">).</w:t>
      </w:r>
    </w:p>
  </w:footnote>
  <w:footnote w:id="88">
    <w:p>
      <w:pPr>
        <w:pStyle w:val="FootnoteText"/>
      </w:pPr>
      <w:r>
        <w:rPr>
          <w:rStyle w:val="FootnoteReference"/>
        </w:rPr>
        <w:footnoteRef/>
      </w:r>
      <w:r>
        <w:t xml:space="preserve"> </w:t>
      </w:r>
      <w:r>
        <w:t xml:space="preserve">Leslie Cauley,</w:t>
      </w:r>
      <w:r>
        <w:t xml:space="preserve"> </w:t>
      </w:r>
      <w:r>
        <w:t xml:space="preserve">“</w:t>
      </w:r>
      <w:r>
        <w:t xml:space="preserve">NSA has massive database of Americans’ phone calls,</w:t>
      </w:r>
      <w:r>
        <w:t xml:space="preserve">”</w:t>
      </w:r>
      <w:r>
        <w:t xml:space="preserve"> </w:t>
      </w:r>
      <w:r>
        <w:rPr>
          <w:iCs/>
          <w:i/>
        </w:rPr>
        <w:t xml:space="preserve">USA Today</w:t>
      </w:r>
      <w:r>
        <w:t xml:space="preserve">, posted May 10, 2006, updated May 11, 2006, https://usatoday30.usatoday.com/news/washington/2006-05-10-nsa_x.htm; Glenn Greenwald,</w:t>
      </w:r>
      <w:r>
        <w:t xml:space="preserve"> </w:t>
      </w:r>
      <w:r>
        <w:t xml:space="preserve">“</w:t>
      </w:r>
      <w:r>
        <w:t xml:space="preserve">NSA Collecting Phone Records of Millions of Verizon Customers Daily,</w:t>
      </w:r>
      <w:r>
        <w:t xml:space="preserve">”</w:t>
      </w:r>
      <w:r>
        <w:t xml:space="preserve"> </w:t>
      </w:r>
      <w:r>
        <w:rPr>
          <w:iCs/>
          <w:i/>
        </w:rPr>
        <w:t xml:space="preserve">The Guardian</w:t>
      </w:r>
      <w:r>
        <w:t xml:space="preserve">, June 5, 2013. Privacy and Civil Liberties Oversight Board,</w:t>
      </w:r>
      <w:r>
        <w:t xml:space="preserve"> </w:t>
      </w:r>
      <w:r>
        <w:rPr>
          <w:iCs/>
          <w:i/>
        </w:rPr>
        <w:t xml:space="preserve">Report on the Telephone Records Program Conducted under Section 215 of the USA PATRIOT Act and on the Operations of the Foreign Intelligence Surveillance Court</w:t>
      </w:r>
      <w:r>
        <w:t xml:space="preserve">, January 23, 2014, pp. 9 (presidential authorizations from late 2001 through early 2006; the first Section 215 order in May 2006; the June 5, 2013</w:t>
      </w:r>
      <w:r>
        <w:t xml:space="preserve"> </w:t>
      </w:r>
      <w:r>
        <w:rPr>
          <w:iCs/>
          <w:i/>
        </w:rPr>
        <w:t xml:space="preserve">Guardian</w:t>
      </w:r>
      <w:r>
        <w:t xml:space="preserve"> </w:t>
      </w:r>
      <w:r>
        <w:t xml:space="preserve">article; the August 29, 2013 opinion), 96–98 (the 2010 and 2011 extensions; the order and application given to the intelligence and judiciary committees of both houses; other members</w:t>
      </w:r>
      <w:r>
        <w:t xml:space="preserve"> </w:t>
      </w:r>
      <w:r>
        <w:t xml:space="preserve">“</w:t>
      </w:r>
      <w:r>
        <w:t xml:space="preserve">prohibited from reading</w:t>
      </w:r>
      <w:r>
        <w:t xml:space="preserve">”</w:t>
      </w:r>
      <w:r>
        <w:t xml:space="preserve"> </w:t>
      </w:r>
      <w:r>
        <w:t xml:space="preserve">them; the briefing paper not made available to all House members in 2011), and 193 (later official releases). Administration White Paper,</w:t>
      </w:r>
      <w:r>
        <w:t xml:space="preserve"> </w:t>
      </w:r>
      <w:r>
        <w:rPr>
          <w:iCs/>
          <w:i/>
        </w:rPr>
        <w:t xml:space="preserve">Bulk Collection of Telephony Metadata Under Section 215 of the USA PATRIOT Act</w:t>
      </w:r>
      <w:r>
        <w:t xml:space="preserve">, August 9, 2013, p. 18 (</w:t>
      </w:r>
      <w:r>
        <w:t xml:space="preserve">“</w:t>
      </w:r>
      <w:r>
        <w:t xml:space="preserve">By December 2008, all four committees had received the initial application and primary order</w:t>
      </w:r>
      <w:r>
        <w:t xml:space="preserve">”</w:t>
      </w:r>
      <w:r>
        <w:t xml:space="preserve">). USA FREEDOM Act of 2015, Pub. L. No. 114-23, §§ 103 (prohibition on bulk collection of tangible things) and 109(a) (effective</w:t>
      </w:r>
      <w:r>
        <w:t xml:space="preserve"> </w:t>
      </w:r>
      <w:r>
        <w:t xml:space="preserve">“</w:t>
      </w:r>
      <w:r>
        <w:t xml:space="preserve">180 days after the date of the enactment</w:t>
      </w:r>
      <w:r>
        <w:t xml:space="preserve">”</w:t>
      </w:r>
      <w:r>
        <w:t xml:space="preserve">); House Roll Call 224, 114th Cong., 1st Sess. (May 13, 2015), H.R. 2048 passed 338–88, with Republicans 196–47. The post-2013 litigation is described in the note on the appellate decisions.</w:t>
      </w:r>
    </w:p>
  </w:footnote>
  <w:footnote w:id="89">
    <w:p>
      <w:pPr>
        <w:pStyle w:val="FootnoteText"/>
      </w:pPr>
      <w:r>
        <w:rPr>
          <w:rStyle w:val="FootnoteReference"/>
        </w:rPr>
        <w:footnoteRef/>
      </w:r>
      <w:r>
        <w:t xml:space="preserve"> </w:t>
      </w:r>
      <w:r>
        <w:t xml:space="preserve">NSA Office of the Inspector General,</w:t>
      </w:r>
      <w:r>
        <w:t xml:space="preserve"> </w:t>
      </w:r>
      <w:r>
        <w:rPr>
          <w:iCs/>
          <w:i/>
        </w:rPr>
        <w:t xml:space="preserve">ST-09-0002 Working Draft: Report on the President’s Surveillance Program</w:t>
      </w:r>
      <w:r>
        <w:t xml:space="preserve">, March 24, 2009, published by</w:t>
      </w:r>
      <w:r>
        <w:t xml:space="preserve"> </w:t>
      </w:r>
      <w:r>
        <w:rPr>
          <w:iCs/>
          <w:i/>
        </w:rPr>
        <w:t xml:space="preserve">The Guardian</w:t>
      </w:r>
      <w:r>
        <w:t xml:space="preserve"> </w:t>
      </w:r>
      <w:r>
        <w:t xml:space="preserve">on June 27, 2013: p. 24 (for members of Congress, the court, providers’ outside counsel, and the NSA Inspector General,</w:t>
      </w:r>
      <w:r>
        <w:t xml:space="preserve"> </w:t>
      </w:r>
      <w:r>
        <w:t xml:space="preserve">“</w:t>
      </w:r>
      <w:r>
        <w:t xml:space="preserve">General Hayden had to obtain approval from the White House</w:t>
      </w:r>
      <w:r>
        <w:t xml:space="preserve">”</w:t>
      </w:r>
      <w:r>
        <w:t xml:space="preserve">); p. 25 (</w:t>
      </w:r>
      <w:r>
        <w:t xml:space="preserve">“</w:t>
      </w:r>
      <w:r>
        <w:t xml:space="preserve">Between 25 October 2001 and 17 January 2007,</w:t>
      </w:r>
      <w:r>
        <w:t xml:space="preserve">”</w:t>
      </w:r>
      <w:r>
        <w:t xml:space="preserve"> </w:t>
      </w:r>
      <w:r>
        <w:t xml:space="preserve">Hayden</w:t>
      </w:r>
      <w:r>
        <w:t xml:space="preserve"> </w:t>
      </w:r>
      <w:r>
        <w:t xml:space="preserve">“</w:t>
      </w:r>
      <w:r>
        <w:t xml:space="preserve">conducted over 49 briefings to members of Congress or their staff,</w:t>
      </w:r>
      <w:r>
        <w:t xml:space="preserve">”</w:t>
      </w:r>
      <w:r>
        <w:t xml:space="preserve"> </w:t>
      </w:r>
      <w:r>
        <w:t xml:space="preserve">and</w:t>
      </w:r>
      <w:r>
        <w:t xml:space="preserve"> </w:t>
      </w:r>
      <w:r>
        <w:t xml:space="preserve">“</w:t>
      </w:r>
      <w:r>
        <w:t xml:space="preserve">during the many PSP-related briefings he gave to members of Congress, no one ever said that NSA should stop what it was doing</w:t>
      </w:r>
      <w:r>
        <w:t xml:space="preserve">”</w:t>
      </w:r>
      <w:r>
        <w:t xml:space="preserve">). The roster of the first briefings is reconstructed from pp. 23–25; Hayden’s recollection is his inference, not a finding of congressional consent.</w:t>
      </w:r>
    </w:p>
  </w:footnote>
  <w:footnote w:id="90">
    <w:p>
      <w:pPr>
        <w:pStyle w:val="FootnoteText"/>
      </w:pPr>
      <w:r>
        <w:rPr>
          <w:rStyle w:val="FootnoteReference"/>
        </w:rPr>
        <w:footnoteRef/>
      </w:r>
      <w:r>
        <w:t xml:space="preserve"> </w:t>
      </w:r>
      <w:r>
        <w:t xml:space="preserve">Sen. Ron Wyden and Sen. Mark Udall to Attorney General Eric Holder, September 21, 2011, p. 1 (the government</w:t>
      </w:r>
      <w:r>
        <w:t xml:space="preserve"> </w:t>
      </w:r>
      <w:r>
        <w:t xml:space="preserve">“</w:t>
      </w:r>
      <w:r>
        <w:t xml:space="preserve">is relying on secret interpretations of surveillance authorities</w:t>
      </w:r>
      <w:r>
        <w:t xml:space="preserve">”</w:t>
      </w:r>
      <w:r>
        <w:t xml:space="preserve">); Wyden and Udall to Holder, March 15, 2012, p. 2 (the opinions are</w:t>
      </w:r>
      <w:r>
        <w:t xml:space="preserve"> </w:t>
      </w:r>
      <w:r>
        <w:t xml:space="preserve">“</w:t>
      </w:r>
      <w:r>
        <w:t xml:space="preserve">so highly classified that most members of Congress do not have any staff who are cleared to read them</w:t>
      </w:r>
      <w:r>
        <w:t xml:space="preserve">”</w:t>
      </w:r>
      <w:r>
        <w:t xml:space="preserve">; the Department of Justice and the Office of the Director of National Intelligence wrote to Senators Rockefeller and Wyden in August 2009 to announce a process for releasing significant opinions;</w:t>
      </w:r>
      <w:r>
        <w:t xml:space="preserve"> </w:t>
      </w:r>
      <w:r>
        <w:t xml:space="preserve">“</w:t>
      </w:r>
      <w:r>
        <w:t xml:space="preserve">Not a single redacted opinion has been released</w:t>
      </w:r>
      <w:r>
        <w:t xml:space="preserve">”</w:t>
      </w:r>
      <w:r>
        <w:t xml:space="preserve">). The August 2009 letter itself was not opened for this edition.</w:t>
      </w:r>
    </w:p>
  </w:footnote>
  <w:footnote w:id="91">
    <w:p>
      <w:pPr>
        <w:pStyle w:val="FootnoteText"/>
      </w:pPr>
      <w:r>
        <w:rPr>
          <w:rStyle w:val="FootnoteReference"/>
        </w:rPr>
        <w:footnoteRef/>
      </w:r>
      <w:r>
        <w:t xml:space="preserve"> </w:t>
      </w:r>
      <w:r>
        <w:t xml:space="preserve">For the architectural framework: S. Res. 400, 94th Cong. (1976), agreed to May 19, 1976, by a vote of 72 to 22 (Snider,</w:t>
      </w:r>
      <w:r>
        <w:t xml:space="preserve"> </w:t>
      </w:r>
      <w:r>
        <w:rPr>
          <w:iCs/>
          <w:i/>
        </w:rPr>
        <w:t xml:space="preserve">Agency and the Hill</w:t>
      </w:r>
      <w:r>
        <w:t xml:space="preserve">, 51); and Espionage Act criminal liability under 18 U.S.C. §§ 793–798.</w:t>
      </w:r>
    </w:p>
  </w:footnote>
  <w:footnote w:id="92">
    <w:p>
      <w:pPr>
        <w:pStyle w:val="FootnoteText"/>
      </w:pPr>
      <w:r>
        <w:rPr>
          <w:rStyle w:val="FootnoteReference"/>
        </w:rPr>
        <w:footnoteRef/>
      </w:r>
      <w:r>
        <w:t xml:space="preserve"> </w:t>
      </w:r>
      <w:r>
        <w:t xml:space="preserve">SSCI, Worldwide Threats hearing, March 12, 2013, printed p. 66 (Clapper exchange). House Judiciary Committee,</w:t>
      </w:r>
      <w:r>
        <w:t xml:space="preserve"> </w:t>
      </w:r>
      <w:r>
        <w:rPr>
          <w:iCs/>
          <w:i/>
        </w:rPr>
        <w:t xml:space="preserve">Oversight of the United States Department of Justice</w:t>
      </w:r>
      <w:r>
        <w:t xml:space="preserve">, April 8, 2014, printed pp. 14–15 (PDF pp. 18–19), https://www.govinfo.gov/content/pkg/CHRG-113hhrg87497/pdf/CHRG-113hhrg87497.pdf: Holder acknowledges Sensenbrenner’s letter, says member material is being reviewed, and declines to confirm an investigation. This does not establish a formal SSCI referral, a confirmed criminal investigation, or a charge. The general five-year limitation period for non-capital federal offences is 18 U.S.C. § 3282(a); for testimony given on March 12, 2013 it ran in March 2018, and the record reviewed here contains no charge.</w:t>
      </w:r>
    </w:p>
  </w:footnote>
  <w:footnote w:id="93">
    <w:p>
      <w:pPr>
        <w:pStyle w:val="FootnoteText"/>
      </w:pPr>
      <w:r>
        <w:rPr>
          <w:rStyle w:val="FootnoteReference"/>
        </w:rPr>
        <w:footnoteRef/>
      </w:r>
      <w:r>
        <w:t xml:space="preserve"> </w:t>
      </w:r>
      <w:r>
        <w:rPr>
          <w:iCs/>
          <w:i/>
        </w:rPr>
        <w:t xml:space="preserve">ACLU v. Clapper</w:t>
      </w:r>
      <w:r>
        <w:t xml:space="preserve">, 785 F.3d 787, 826 (2d Cir. 2015) (the program</w:t>
      </w:r>
      <w:r>
        <w:t xml:space="preserve"> </w:t>
      </w:r>
      <w:r>
        <w:t xml:space="preserve">“</w:t>
      </w:r>
      <w:r>
        <w:t xml:space="preserve">exceeds the scope of what Congress has authorized</w:t>
      </w:r>
      <w:r>
        <w:t xml:space="preserve">”</w:t>
      </w:r>
      <w:r>
        <w:t xml:space="preserve">; constitutional claims not reached);</w:t>
      </w:r>
      <w:r>
        <w:t xml:space="preserve"> </w:t>
      </w:r>
      <w:r>
        <w:rPr>
          <w:iCs/>
          <w:i/>
        </w:rPr>
        <w:t xml:space="preserve">Klayman v. Obama</w:t>
      </w:r>
      <w:r>
        <w:t xml:space="preserve">, 800 F.3d 559 (D.C. Cir. 2015) (per curiam) (preliminary injunction vacated; Judge Williams found no substantial likelihood of standing, a view Judge Sentelle shared in partial dissent, and Judge Brown found bare standing but no substantial likelihood that the plaintiffs’ own records were collected);</w:t>
      </w:r>
      <w:r>
        <w:t xml:space="preserve"> </w:t>
      </w:r>
      <w:r>
        <w:rPr>
          <w:iCs/>
          <w:i/>
        </w:rPr>
        <w:t xml:space="preserve">United States v. Moalin</w:t>
      </w:r>
      <w:r>
        <w:t xml:space="preserve">, 973 F.3d 977, 996 (9th Cir. 2020) (the collection</w:t>
      </w:r>
      <w:r>
        <w:t xml:space="preserve"> </w:t>
      </w:r>
      <w:r>
        <w:t xml:space="preserve">“</w:t>
      </w:r>
      <w:r>
        <w:t xml:space="preserve">exceeded the scope of Congress’s authorization</w:t>
      </w:r>
      <w:r>
        <w:t xml:space="preserve">”</w:t>
      </w:r>
      <w:r>
        <w:t xml:space="preserve"> </w:t>
      </w:r>
      <w:r>
        <w:t xml:space="preserve">in 50 U.S.C. § 1861), and id. at 984 (the government</w:t>
      </w:r>
      <w:r>
        <w:t xml:space="preserve"> </w:t>
      </w:r>
      <w:r>
        <w:t xml:space="preserve">“</w:t>
      </w:r>
      <w:r>
        <w:t xml:space="preserve">may have violated the Fourth Amendment,</w:t>
      </w:r>
      <w:r>
        <w:t xml:space="preserve">”</w:t>
      </w:r>
      <w:r>
        <w:t xml:space="preserve"> </w:t>
      </w:r>
      <w:r>
        <w:t xml:space="preserve">but suppression was not warranted).</w:t>
      </w:r>
    </w:p>
  </w:footnote>
  <w:footnote w:id="95">
    <w:p>
      <w:pPr>
        <w:pStyle w:val="FootnoteText"/>
      </w:pPr>
      <w:r>
        <w:rPr>
          <w:rStyle w:val="FootnoteReference"/>
        </w:rPr>
        <w:footnoteRef/>
      </w:r>
      <w:r>
        <w:t xml:space="preserve"> </w:t>
      </w:r>
      <w:r>
        <w:t xml:space="preserve">The external rupture for the CIA Interrogation Program inquiry: Mark Mazzetti,</w:t>
      </w:r>
      <w:r>
        <w:t xml:space="preserve"> </w:t>
      </w:r>
      <w:r>
        <w:t xml:space="preserve">“</w:t>
      </w:r>
      <w:r>
        <w:t xml:space="preserve">C.I.A. Destroyed 2 Tapes Showing Interrogations,</w:t>
      </w:r>
      <w:r>
        <w:t xml:space="preserve">”</w:t>
      </w:r>
      <w:r>
        <w:t xml:space="preserve"> </w:t>
      </w:r>
      <w:r>
        <w:rPr>
          <w:iCs/>
          <w:i/>
        </w:rPr>
        <w:t xml:space="preserve">New York Times</w:t>
      </w:r>
      <w:r>
        <w:t xml:space="preserve">, December 7, 2007, A1 (dateline Washington, Dec. 6), revealing that the CIA had destroyed videotapes of detainee interrogations, a destruction ordered in 2005 by Jose A. Rodriguez Jr., head of the National Clandestine Service. The specific count of ninety-two destroyed tapes did not appear in the 2007 reporting; it first surfaced publicly in a Department of Justice litigation disclosure, the government’s March 2, 2009 letter to the court in the American Civil Liberties Union’s Freedom of Information Act suit seeking records of the treatment of prisoners in U.S. custody abroad (S.D.N.Y.); see American Civil Liberties Union,</w:t>
      </w:r>
      <w:r>
        <w:t xml:space="preserve"> </w:t>
      </w:r>
      <w:r>
        <w:t xml:space="preserve">“</w:t>
      </w:r>
      <w:r>
        <w:t xml:space="preserve">CIA Destroyed 92 Interrogation Tapes,</w:t>
      </w:r>
      <w:r>
        <w:t xml:space="preserve">”</w:t>
      </w:r>
      <w:r>
        <w:t xml:space="preserve"> </w:t>
      </w:r>
      <w:r>
        <w:t xml:space="preserve">press release, March 2, 2009. The revelation and the ensuing DOJ preliminary review preceded the Senate Intelligence Committee’s March 5, 2009 authorization of its detention-and-interrogation study.</w:t>
      </w:r>
    </w:p>
  </w:footnote>
  <w:footnote w:id="96">
    <w:p>
      <w:pPr>
        <w:pStyle w:val="FootnoteText"/>
      </w:pPr>
      <w:r>
        <w:rPr>
          <w:rStyle w:val="FootnoteReference"/>
        </w:rPr>
        <w:footnoteRef/>
      </w:r>
      <w:r>
        <w:t xml:space="preserve"> </w:t>
      </w:r>
      <w:r>
        <w:t xml:space="preserve">Feinstein, 160</w:t>
      </w:r>
      <w:r>
        <w:t xml:space="preserve"> </w:t>
      </w:r>
      <w:r>
        <w:rPr>
          <w:iCs/>
          <w:i/>
        </w:rPr>
        <w:t xml:space="preserve">Cong. Rec.</w:t>
      </w:r>
      <w:r>
        <w:t xml:space="preserve"> </w:t>
      </w:r>
      <w:r>
        <w:t xml:space="preserve">S1487–S1491 (documents that</w:t>
      </w:r>
      <w:r>
        <w:t xml:space="preserve"> </w:t>
      </w:r>
      <w:r>
        <w:t xml:space="preserve">“</w:t>
      </w:r>
      <w:r>
        <w:t xml:space="preserve">were no longer accessible</w:t>
      </w:r>
      <w:r>
        <w:t xml:space="preserve">”</w:t>
      </w:r>
      <w:r>
        <w:t xml:space="preserve"> </w:t>
      </w:r>
      <w:r>
        <w:t xml:space="preserve">in May 2010; the January 2014 search of the committee’s network, of which she was informed on January 15, 2014; the Inspector General’s referral of the CIA’s activities to the Department of Justice and the acting general counsel’s crimes report concerning committee staff; the June 2013 CIA response to the study). Carrie Johnson,</w:t>
      </w:r>
      <w:r>
        <w:t xml:space="preserve"> </w:t>
      </w:r>
      <w:r>
        <w:t xml:space="preserve">“</w:t>
      </w:r>
      <w:r>
        <w:t xml:space="preserve">No Criminal Charges In Senate-CIA Spat, Justice Department Says,</w:t>
      </w:r>
      <w:r>
        <w:t xml:space="preserve">”</w:t>
      </w:r>
      <w:r>
        <w:t xml:space="preserve"> </w:t>
      </w:r>
      <w:r>
        <w:t xml:space="preserve">NPR, July 10, 2014.</w:t>
      </w:r>
    </w:p>
  </w:footnote>
  <w:footnote w:id="97">
    <w:p>
      <w:pPr>
        <w:pStyle w:val="FootnoteText"/>
      </w:pPr>
      <w:r>
        <w:rPr>
          <w:rStyle w:val="FootnoteReference"/>
        </w:rPr>
        <w:footnoteRef/>
      </w:r>
      <w:r>
        <w:t xml:space="preserve"> </w:t>
      </w:r>
      <w:r>
        <w:t xml:space="preserve">Detainee Treatment Act of 2005, Pub. L. No. 109-148, div. A, title X, 119 Stat. 2739–40 (December 30, 2005), §§ 1003(a) (</w:t>
      </w:r>
      <w:r>
        <w:t xml:space="preserve">“</w:t>
      </w:r>
      <w:r>
        <w:t xml:space="preserve">No individual in the custody or under the physical control of the United States Government, regardless of nationality or physical location, shall be subject to cruel, inhuman, or degrading treatment or punishment</w:t>
      </w:r>
      <w:r>
        <w:t xml:space="preserve">”</w:t>
      </w:r>
      <w:r>
        <w:t xml:space="preserve">) and 1004(a) (in a civil action or prosecution arising from authorized interrogation practices, a defense where the agent</w:t>
      </w:r>
      <w:r>
        <w:t xml:space="preserve"> </w:t>
      </w:r>
      <w:r>
        <w:t xml:space="preserve">“</w:t>
      </w:r>
      <w:r>
        <w:t xml:space="preserve">did not know that the practices were unlawful and a person of ordinary sense and understanding would not know the practices were unlawful</w:t>
      </w:r>
      <w:r>
        <w:t xml:space="preserve">”</w:t>
      </w:r>
      <w:r>
        <w:t xml:space="preserve">). Military Commissions Act of 2006, Pub. L. No. 109-366, § 6(b), 120 Stat. 2600, 2633–35 (October 17, 2006) (replacing the War Crimes Act’s offense for conduct</w:t>
      </w:r>
      <w:r>
        <w:t xml:space="preserve"> </w:t>
      </w:r>
      <w:r>
        <w:t xml:space="preserve">“</w:t>
      </w:r>
      <w:r>
        <w:t xml:space="preserve">which constitutes a violation of common Article 3,</w:t>
      </w:r>
      <w:r>
        <w:t xml:space="preserve">”</w:t>
      </w:r>
      <w:r>
        <w:t xml:space="preserve"> </w:t>
      </w:r>
      <w:r>
        <w:t xml:space="preserve">added by the Foreign Operations, Export Financing, and Related Programs Appropriations Act, 1998, Pub. L. No. 105-118, § 583, 111 Stat. 2386, 2436 (November 26, 1997), with enumerated</w:t>
      </w:r>
      <w:r>
        <w:t xml:space="preserve"> </w:t>
      </w:r>
      <w:r>
        <w:t xml:space="preserve">“</w:t>
      </w:r>
      <w:r>
        <w:t xml:space="preserve">grave breach</w:t>
      </w:r>
      <w:r>
        <w:t xml:space="preserve">”</w:t>
      </w:r>
      <w:r>
        <w:t xml:space="preserve"> </w:t>
      </w:r>
      <w:r>
        <w:t xml:space="preserve">offenses; the amendments, with one exception for later conduct,</w:t>
      </w:r>
      <w:r>
        <w:t xml:space="preserve"> </w:t>
      </w:r>
      <w:r>
        <w:t xml:space="preserve">“</w:t>
      </w:r>
      <w:r>
        <w:t xml:space="preserve">shall take effect as of November 26, 1997</w:t>
      </w:r>
      <w:r>
        <w:t xml:space="preserve">”</w:t>
      </w:r>
      <w:r>
        <w:t xml:space="preserve">). National Defense Authorization Act for Fiscal Year 2016, Pub. L. No. 114-92, § 1045, is the sequel.</w:t>
      </w:r>
    </w:p>
  </w:footnote>
  <w:footnote w:id="98">
    <w:p>
      <w:pPr>
        <w:pStyle w:val="FootnoteText"/>
      </w:pPr>
      <w:r>
        <w:rPr>
          <w:rStyle w:val="FootnoteReference"/>
        </w:rPr>
        <w:footnoteRef/>
      </w:r>
      <w:r>
        <w:t xml:space="preserve"> </w:t>
      </w:r>
      <w:r>
        <w:t xml:space="preserve">SSCI,</w:t>
      </w:r>
      <w:r>
        <w:t xml:space="preserve"> </w:t>
      </w:r>
      <w:r>
        <w:rPr>
          <w:iCs/>
          <w:i/>
        </w:rPr>
        <w:t xml:space="preserve">Committee Study</w:t>
      </w:r>
      <w:r>
        <w:t xml:space="preserve">, Findings and Conclusions, p. 16 (</w:t>
      </w:r>
      <w:r>
        <w:t xml:space="preserve">“</w:t>
      </w:r>
      <w:r>
        <w:t xml:space="preserve">In late 2005 and in 2006, the Detainee Treatment Act and then the U.S. Supreme Court decision in Hamdan v. Rumsfeld caused the CIA to again temporarily suspend the use of its enhanced interrogation techniques</w:t>
      </w:r>
      <w:r>
        <w:t xml:space="preserve">”</w:t>
      </w:r>
      <w:r>
        <w:t xml:space="preserve">), and Executive Summary, p. 164 and n. (</w:t>
      </w:r>
      <w:r>
        <w:t xml:space="preserve">“</w:t>
      </w:r>
      <w:r>
        <w:t xml:space="preserve">A classified legal opinion from OLC concluding that the use of the CIA’s six enhanced interrogation techniques proposed for use on Rahim … did not violate applicable laws was issued on July 20, 2007</w:t>
      </w:r>
      <w:r>
        <w:t xml:space="preserve">”</w:t>
      </w:r>
      <w:r>
        <w:t xml:space="preserve">; the opinion applied the War Crimes Act, the Detainee Treatment Act, and Common Article 3).</w:t>
      </w:r>
      <w:r>
        <w:t xml:space="preserve"> </w:t>
      </w:r>
      <w:r>
        <w:rPr>
          <w:iCs/>
          <w:i/>
        </w:rPr>
        <w:t xml:space="preserve">Hamdan v. Rumsfeld</w:t>
      </w:r>
      <w:r>
        <w:t xml:space="preserve">, 548 U.S. 557 (2006).</w:t>
      </w:r>
    </w:p>
  </w:footnote>
  <w:footnote w:id="99">
    <w:p>
      <w:pPr>
        <w:pStyle w:val="FootnoteText"/>
      </w:pPr>
      <w:r>
        <w:rPr>
          <w:rStyle w:val="FootnoteReference"/>
        </w:rPr>
        <w:footnoteRef/>
      </w:r>
      <w:r>
        <w:t xml:space="preserve"> </w:t>
      </w:r>
      <w:r>
        <w:t xml:space="preserve">Department of Justice,</w:t>
      </w:r>
      <w:r>
        <w:t xml:space="preserve"> </w:t>
      </w:r>
      <w:r>
        <w:t xml:space="preserve">“</w:t>
      </w:r>
      <w:r>
        <w:t xml:space="preserve">Statement of Attorney General Eric Holder on Closure of Investigation into the Interrogation of Certain Detainees,</w:t>
      </w:r>
      <w:r>
        <w:t xml:space="preserve">”</w:t>
      </w:r>
      <w:r>
        <w:t xml:space="preserve"> </w:t>
      </w:r>
      <w:r>
        <w:t xml:space="preserve">August 30, 2012 (the two remaining criminal investigations closed without charges). Office of Professional Responsibility,</w:t>
      </w:r>
      <w:r>
        <w:t xml:space="preserve"> </w:t>
      </w:r>
      <w:r>
        <w:rPr>
          <w:iCs/>
          <w:i/>
        </w:rPr>
        <w:t xml:space="preserve">Investigation into the Office of Legal Counsel’s Memoranda Concerning Issues Relating to the Central Intelligence Agency’s Use of</w:t>
      </w:r>
      <w:r>
        <w:rPr>
          <w:iCs/>
          <w:i/>
        </w:rPr>
        <w:t xml:space="preserve"> </w:t>
      </w:r>
      <w:r>
        <w:rPr>
          <w:iCs/>
          <w:i/>
        </w:rPr>
        <w:t xml:space="preserve">“</w:t>
      </w:r>
      <w:r>
        <w:rPr>
          <w:iCs/>
          <w:i/>
        </w:rPr>
        <w:t xml:space="preserve">Enhanced Interrogation Techniques</w:t>
      </w:r>
      <w:r>
        <w:rPr>
          <w:iCs/>
          <w:i/>
        </w:rPr>
        <w:t xml:space="preserve">”</w:t>
      </w:r>
      <w:r>
        <w:rPr>
          <w:iCs/>
          <w:i/>
        </w:rPr>
        <w:t xml:space="preserve"> </w:t>
      </w:r>
      <w:r>
        <w:rPr>
          <w:iCs/>
          <w:i/>
        </w:rPr>
        <w:t xml:space="preserve">on Suspected Terrorists</w:t>
      </w:r>
      <w:r>
        <w:t xml:space="preserve">, July 29, 2009, released February 19, 2010 (professional-misconduct findings against John Yoo and Jay Bybee); Memorandum for the Attorney General from David Margolis, January 5, 2010 (declining to adopt those findings). This paper paraphrases rather than quotes both documents. Steven G. Bradbury, Memorandum for the Files,</w:t>
      </w:r>
      <w:r>
        <w:t xml:space="preserve"> </w:t>
      </w:r>
      <w:r>
        <w:t xml:space="preserve">“</w:t>
      </w:r>
      <w:r>
        <w:t xml:space="preserve">Status of Certain OLC Opinions Issued in the Aftermath of the Terrorist Attacks of September 11, 2001,</w:t>
      </w:r>
      <w:r>
        <w:t xml:space="preserve">”</w:t>
      </w:r>
      <w:r>
        <w:t xml:space="preserve"> </w:t>
      </w:r>
      <w:r>
        <w:t xml:space="preserve">January 15, 2009, p. 4 (the</w:t>
      </w:r>
      <w:r>
        <w:t xml:space="preserve"> </w:t>
      </w:r>
      <w:r>
        <w:t xml:space="preserve">“</w:t>
      </w:r>
      <w:r>
        <w:t xml:space="preserve">sweeping assertions</w:t>
      </w:r>
      <w:r>
        <w:t xml:space="preserve">”</w:t>
      </w:r>
      <w:r>
        <w:t xml:space="preserve"> </w:t>
      </w:r>
      <w:r>
        <w:t xml:space="preserve">that the Commander in Chief authority</w:t>
      </w:r>
      <w:r>
        <w:t xml:space="preserve"> </w:t>
      </w:r>
      <w:r>
        <w:t xml:space="preserve">“</w:t>
      </w:r>
      <w:r>
        <w:t xml:space="preserve">categorically precludes Congress from enacting any legislation concerning the detention, interrogation, prosecution</w:t>
      </w:r>
      <w:r>
        <w:t xml:space="preserve">”</w:t>
      </w:r>
      <w:r>
        <w:t xml:space="preserve"> </w:t>
      </w:r>
      <w:r>
        <w:t xml:space="preserve">of enemy combatants are not OLC’s position, while a law</w:t>
      </w:r>
      <w:r>
        <w:t xml:space="preserve"> </w:t>
      </w:r>
      <w:r>
        <w:t xml:space="preserve">“</w:t>
      </w:r>
      <w:r>
        <w:t xml:space="preserve">constitutional in general may still raise serious constitutional issues if applied in particular circumstances</w:t>
      </w:r>
      <w:r>
        <w:t xml:space="preserve">”</w:t>
      </w:r>
      <w:r>
        <w:t xml:space="preserve">), https://www.justice.gov/sites/default/files/opa/legacy/2009/03/09/memostatusolcopinions01152009.pdf. National Defense Authorization Act for Fiscal Year 2016, Pub. L. No. 114-92, § 1045.</w:t>
      </w:r>
    </w:p>
  </w:footnote>
  <w:footnote w:id="100">
    <w:p>
      <w:pPr>
        <w:pStyle w:val="FootnoteText"/>
      </w:pPr>
      <w:r>
        <w:rPr>
          <w:rStyle w:val="FootnoteReference"/>
        </w:rPr>
        <w:footnoteRef/>
      </w:r>
      <w:r>
        <w:t xml:space="preserve"> </w:t>
      </w:r>
      <w:r>
        <w:t xml:space="preserve">Pike and Church share a historical episode but differ in chamber, mandate, leadership, procedure, and demand posture. Appendix B separates their eight-indicator profiles. The combined column is an episode-level union, not a controlled comparison or evidence of identical outcomes.</w:t>
      </w:r>
    </w:p>
  </w:footnote>
  <w:footnote w:id="103">
    <w:p>
      <w:pPr>
        <w:pStyle w:val="FootnoteText"/>
      </w:pPr>
      <w:r>
        <w:rPr>
          <w:rStyle w:val="FootnoteReference"/>
        </w:rPr>
        <w:footnoteRef/>
      </w:r>
      <w:r>
        <w:t xml:space="preserve"> </w:t>
      </w:r>
      <w:r>
        <w:t xml:space="preserve">Epstein Files Transparency Act, Pub. L. No. 119-38, 139 Stat. 656 (2025). The House passed H.R. 4405 on November 18, 2025 by 427–1 (House Roll Call 289, 119th Cong., 1st sess.), and the Senate passed it by unanimous consent (Congress.gov, H.R. 4405, All Actions:</w:t>
      </w:r>
      <w:r>
        <w:t xml:space="preserve"> </w:t>
      </w:r>
      <w:r>
        <w:t xml:space="preserve">“</w:t>
      </w:r>
      <w:r>
        <w:t xml:space="preserve">Received in the Senate, read twice, considered, read the third time, and passed, under the order of 11/18/2025, without amendment by Unanimous Consent. (consideration: CR S8211)</w:t>
      </w:r>
      <w:r>
        <w:t xml:space="preserve">”</w:t>
      </w:r>
      <w:r>
        <w:t xml:space="preserve">, that is, 171 Cong. Rec. S8211 (daily ed. Nov. 19, 2025)); President Trump signed it on November 19, 2025. Unanimous consent records the absence of objection, not a counted vote.</w:t>
      </w:r>
    </w:p>
  </w:footnote>
  <w:footnote w:id="104">
    <w:p>
      <w:pPr>
        <w:pStyle w:val="FootnoteText"/>
      </w:pPr>
      <w:r>
        <w:rPr>
          <w:rStyle w:val="FootnoteReference"/>
        </w:rPr>
        <w:footnoteRef/>
      </w:r>
      <w:r>
        <w:t xml:space="preserve"> </w:t>
      </w:r>
      <w:r>
        <w:t xml:space="preserve">Julie K. Brown,</w:t>
      </w:r>
      <w:r>
        <w:t xml:space="preserve"> </w:t>
      </w:r>
      <w:r>
        <w:t xml:space="preserve">“</w:t>
      </w:r>
      <w:r>
        <w:t xml:space="preserve">Perversion of Justice,</w:t>
      </w:r>
      <w:r>
        <w:t xml:space="preserve">”</w:t>
      </w:r>
      <w:r>
        <w:t xml:space="preserve"> </w:t>
      </w:r>
      <w:r>
        <w:rPr>
          <w:iCs/>
          <w:i/>
        </w:rPr>
        <w:t xml:space="preserve">Miami Herald</w:t>
      </w:r>
      <w:r>
        <w:t xml:space="preserve">, November 28, 2018, as cited by Department of Justice, Office of Professional Responsibility, report of November 2020 on the Southern District of Florida’s resolution of its 2006–2008 investigation of Jeffrey Epstein, Executive Summary, p. iii n.3; OPR found that</w:t>
      </w:r>
      <w:r>
        <w:t xml:space="preserve"> </w:t>
      </w:r>
      <w:r>
        <w:t xml:space="preserve">“</w:t>
      </w:r>
      <w:r>
        <w:t xml:space="preserve">The Miami Herald report led to public outrage and media scrutiny of the government’s actions</w:t>
      </w:r>
      <w:r>
        <w:t xml:space="preserve">”</w:t>
      </w:r>
      <w:r>
        <w:t xml:space="preserve"> </w:t>
      </w:r>
      <w:r>
        <w:t xml:space="preserve">and records the Southern District of New York indictment of July 2, 2019 (p. iv).</w:t>
      </w:r>
    </w:p>
  </w:footnote>
  <w:footnote w:id="106">
    <w:p>
      <w:pPr>
        <w:pStyle w:val="FootnoteText"/>
      </w:pPr>
      <w:r>
        <w:rPr>
          <w:rStyle w:val="FootnoteReference"/>
        </w:rPr>
        <w:footnoteRef/>
      </w:r>
      <w:r>
        <w:t xml:space="preserve"> </w:t>
      </w:r>
      <w:r>
        <w:t xml:space="preserve">Office of Representative Thomas Massie,</w:t>
      </w:r>
      <w:r>
        <w:t xml:space="preserve"> </w:t>
      </w:r>
      <w:r>
        <w:t xml:space="preserve">“</w:t>
      </w:r>
      <w:r>
        <w:t xml:space="preserve">Massie-Khanna</w:t>
      </w:r>
      <w:r>
        <w:t xml:space="preserve"> </w:t>
      </w:r>
      <w:r>
        <w:t xml:space="preserve">‘</w:t>
      </w:r>
      <w:r>
        <w:t xml:space="preserve">Epstein Files Transparency Act</w:t>
      </w:r>
      <w:r>
        <w:t xml:space="preserve">’</w:t>
      </w:r>
      <w:r>
        <w:t xml:space="preserve"> </w:t>
      </w:r>
      <w:r>
        <w:t xml:space="preserve">Passes House of Representatives,</w:t>
      </w:r>
      <w:r>
        <w:t xml:space="preserve">”</w:t>
      </w:r>
      <w:r>
        <w:t xml:space="preserve"> </w:t>
      </w:r>
      <w:r>
        <w:t xml:space="preserve">press release, November 18, 2025, https://massie.house.gov/news/documentsingle.aspx?DocumentID=395780 (the bill</w:t>
      </w:r>
      <w:r>
        <w:t xml:space="preserve"> </w:t>
      </w:r>
      <w:r>
        <w:t xml:space="preserve">“</w:t>
      </w:r>
      <w:r>
        <w:t xml:space="preserve">received a vote after Rep. Massie successfully gathered 218 signatures on a discharge petition to force the legislation onto the House floor for consideration</w:t>
      </w:r>
      <w:r>
        <w:t xml:space="preserve">”</w:t>
      </w:r>
      <w:r>
        <w:t xml:space="preserve">); 171</w:t>
      </w:r>
      <w:r>
        <w:t xml:space="preserve"> </w:t>
      </w:r>
      <w:r>
        <w:rPr>
          <w:iCs/>
          <w:i/>
        </w:rPr>
        <w:t xml:space="preserve">Cong. Rec.</w:t>
      </w:r>
      <w:r>
        <w:t xml:space="preserve"> </w:t>
      </w:r>
      <w:r>
        <w:t xml:space="preserve">H4725–H4733 (daily ed. November 18, 2025).</w:t>
      </w:r>
    </w:p>
  </w:footnote>
  <w:footnote w:id="107">
    <w:p>
      <w:pPr>
        <w:pStyle w:val="FootnoteText"/>
      </w:pPr>
      <w:r>
        <w:rPr>
          <w:rStyle w:val="FootnoteReference"/>
        </w:rPr>
        <w:footnoteRef/>
      </w:r>
      <w:r>
        <w:t xml:space="preserve"> </w:t>
      </w:r>
      <w:r>
        <w:t xml:space="preserve">The released agency Glomar correspondence documents three request cycles in which Epstein, through counsel, sought records about himself. A CIA Privacy Act response of July 29, 2011 to attorney Martin G. Weinberg (EFTA01089565) reported no records of an</w:t>
      </w:r>
      <w:r>
        <w:t xml:space="preserve"> </w:t>
      </w:r>
      <w:r>
        <w:t xml:space="preserve">“</w:t>
      </w:r>
      <w:r>
        <w:t xml:space="preserve">open or otherwise acknowledged Agency affiliation</w:t>
      </w:r>
      <w:r>
        <w:t xml:space="preserve">”</w:t>
      </w:r>
      <w:r>
        <w:t xml:space="preserve"> </w:t>
      </w:r>
      <w:r>
        <w:t xml:space="preserve">and declined to confirm or deny any</w:t>
      </w:r>
      <w:r>
        <w:t xml:space="preserve"> </w:t>
      </w:r>
      <w:r>
        <w:t xml:space="preserve">“</w:t>
      </w:r>
      <w:r>
        <w:t xml:space="preserve">classified connection to the CIA</w:t>
      </w:r>
      <w:r>
        <w:t xml:space="preserve">”</w:t>
      </w:r>
      <w:r>
        <w:t xml:space="preserve"> </w:t>
      </w:r>
      <w:r>
        <w:t xml:space="preserve">under Executive Order 13526 Section 3.6(a), referencing a prior 1999 cycle (acceptance letter P-1999-02450, November 5, 1999). A 2014 NSA cycle on FOIA Case 76098 comprises attorney Darren K. Indyke’s appeal of March 4, 2014 (EFTA00583099), which quotes and describes an initial denial of January 17, 2014 that the production does not itself carry under a separate Bates; the NSA’s acknowledgment of that appeal, March 25, 2014 (EFTA02726324, with a second, differently redacted copy at EFTA00605791); and the NSA appeal response of July 30, 2014 (EFTA00606101), which continued to neither confirm nor deny intelligence material on Epstein and named the Section 215 and Section 702 collection programs. A Glomar response is applied categorically and is by design uninformative as to whether responsive records exist, so the correspondence evidences the requests and the agencies’ withholding posture, not any intelligence relationship.</w:t>
      </w:r>
    </w:p>
  </w:footnote>
  <w:footnote w:id="109">
    <w:p>
      <w:pPr>
        <w:pStyle w:val="FootnoteText"/>
      </w:pPr>
      <w:r>
        <w:rPr>
          <w:rStyle w:val="FootnoteReference"/>
        </w:rPr>
        <w:footnoteRef/>
      </w:r>
      <w:r>
        <w:t xml:space="preserve"> </w:t>
      </w:r>
      <w:r>
        <w:t xml:space="preserve">The pre-EFTA executive offer sequence. On February 27, 2025 the Department of Justice released what it called the</w:t>
      </w:r>
      <w:r>
        <w:t xml:space="preserve"> </w:t>
      </w:r>
      <w:r>
        <w:t xml:space="preserve">“</w:t>
      </w:r>
      <w:r>
        <w:t xml:space="preserve">first phase</w:t>
      </w:r>
      <w:r>
        <w:t xml:space="preserve">”</w:t>
      </w:r>
      <w:r>
        <w:t xml:space="preserve"> </w:t>
      </w:r>
      <w:r>
        <w:t xml:space="preserve">of declassified Epstein files, distributing binders labeled</w:t>
      </w:r>
      <w:r>
        <w:t xml:space="preserve"> </w:t>
      </w:r>
      <w:r>
        <w:t xml:space="preserve">“</w:t>
      </w:r>
      <w:r>
        <w:t xml:space="preserve">The Epstein Files: Phase 1</w:t>
      </w:r>
      <w:r>
        <w:t xml:space="preserve">”</w:t>
      </w:r>
      <w:r>
        <w:t xml:space="preserve"> </w:t>
      </w:r>
      <w:r>
        <w:t xml:space="preserve">to about fifteen online influencers at the White House; Kerry Breen,</w:t>
      </w:r>
      <w:r>
        <w:t xml:space="preserve"> </w:t>
      </w:r>
      <w:r>
        <w:t xml:space="preserve">“</w:t>
      </w:r>
      <w:r>
        <w:t xml:space="preserve">Right-wing influencers get binders labeled</w:t>
      </w:r>
      <w:r>
        <w:t xml:space="preserve"> </w:t>
      </w:r>
      <w:r>
        <w:t xml:space="preserve">‘</w:t>
      </w:r>
      <w:r>
        <w:t xml:space="preserve">The Epstein Files,</w:t>
      </w:r>
      <w:r>
        <w:t xml:space="preserve">’</w:t>
      </w:r>
      <w:r>
        <w:t xml:space="preserve"> </w:t>
      </w:r>
      <w:r>
        <w:t xml:space="preserve">but downplay revelations,</w:t>
      </w:r>
      <w:r>
        <w:t xml:space="preserve">”</w:t>
      </w:r>
      <w:r>
        <w:t xml:space="preserve"> </w:t>
      </w:r>
      <w:r>
        <w:t xml:space="preserve">CBS News, February 27, 2025 (fifteen attendees; the Department’s statement that the first phase</w:t>
      </w:r>
      <w:r>
        <w:t xml:space="preserve"> </w:t>
      </w:r>
      <w:r>
        <w:t xml:space="preserve">“</w:t>
      </w:r>
      <w:r>
        <w:t xml:space="preserve">largely contains documents that have been previously leaked</w:t>
      </w:r>
      <w:r>
        <w:t xml:space="preserve">”</w:t>
      </w:r>
      <w:r>
        <w:t xml:space="preserve">). Office of the Attorney General,</w:t>
      </w:r>
      <w:r>
        <w:t xml:space="preserve"> </w:t>
      </w:r>
      <w:r>
        <w:t xml:space="preserve">“</w:t>
      </w:r>
      <w:r>
        <w:t xml:space="preserve">Attorney General Pamela Bondi Releases First Phase of Declassified Epstein Files,</w:t>
      </w:r>
      <w:r>
        <w:t xml:space="preserve">”</w:t>
      </w:r>
      <w:r>
        <w:t xml:space="preserve"> </w:t>
      </w:r>
      <w:r>
        <w:t xml:space="preserve">February 27, 2025; Attorney General Bondi letter to FBI Director Kash Patel, February 27, 2025, demanding the</w:t>
      </w:r>
      <w:r>
        <w:t xml:space="preserve"> </w:t>
      </w:r>
      <w:r>
        <w:t xml:space="preserve">“</w:t>
      </w:r>
      <w:r>
        <w:t xml:space="preserve">full and complete Epstein files</w:t>
      </w:r>
      <w:r>
        <w:t xml:space="preserve">”</w:t>
      </w:r>
      <w:r>
        <w:t xml:space="preserve"> </w:t>
      </w:r>
      <w:r>
        <w:t xml:space="preserve">with</w:t>
      </w:r>
      <w:r>
        <w:t xml:space="preserve"> </w:t>
      </w:r>
      <w:r>
        <w:t xml:space="preserve">“</w:t>
      </w:r>
      <w:r>
        <w:t xml:space="preserve">no withholdings or limitations.</w:t>
      </w:r>
      <w:r>
        <w:t xml:space="preserve">”</w:t>
      </w:r>
      <w:r>
        <w:t xml:space="preserve"> </w:t>
      </w:r>
      <w:r>
        <w:t xml:space="preserve">The FBI’s internal Epstein Transparency Project processing guidance (training dated March 21, 2025) was provided by the FBI directly to DOJ on March 23, 2025; the operational summary at EFTA00172473 states it was provided to all FBI personnel participating in the redaction project. An undated, unsigned Department of Justice and FBI memorandum made public in July 2025, https://www.justice.gov/opa/media/1407001/dl, stated that the review</w:t>
      </w:r>
      <w:r>
        <w:t xml:space="preserve"> </w:t>
      </w:r>
      <w:r>
        <w:t xml:space="preserve">“</w:t>
      </w:r>
      <w:r>
        <w:t xml:space="preserve">revealed no incriminating</w:t>
      </w:r>
      <w:r>
        <w:t xml:space="preserve"> </w:t>
      </w:r>
      <w:r>
        <w:t xml:space="preserve">‘</w:t>
      </w:r>
      <w:r>
        <w:t xml:space="preserve">client list</w:t>
      </w:r>
      <w:r>
        <w:t xml:space="preserve">’</w:t>
      </w:r>
      <w:r>
        <w:t xml:space="preserve">”</w:t>
      </w:r>
      <w:r>
        <w:t xml:space="preserve"> </w:t>
      </w:r>
      <w:r>
        <w:t xml:space="preserve">and that</w:t>
      </w:r>
      <w:r>
        <w:t xml:space="preserve"> </w:t>
      </w:r>
      <w:r>
        <w:t xml:space="preserve">“</w:t>
      </w:r>
      <w:r>
        <w:t xml:space="preserve">no further disclosure would be appropriate or warranted</w:t>
      </w:r>
      <w:r>
        <w:t xml:space="preserve">”</w:t>
      </w:r>
      <w:r>
        <w:t xml:space="preserve">; see also Associated Press,</w:t>
      </w:r>
      <w:r>
        <w:t xml:space="preserve"> </w:t>
      </w:r>
      <w:r>
        <w:t xml:space="preserve">“</w:t>
      </w:r>
      <w:r>
        <w:t xml:space="preserve">A look at how the Epstein files dogged Pam Bondi’s time as attorney general,</w:t>
      </w:r>
      <w:r>
        <w:t xml:space="preserve">”</w:t>
      </w:r>
      <w:r>
        <w:t xml:space="preserve"> </w:t>
      </w:r>
      <w:r>
        <w:t xml:space="preserve">PBS NewsHour (</w:t>
      </w:r>
      <w:r>
        <w:t xml:space="preserve">“</w:t>
      </w:r>
      <w:r>
        <w:t xml:space="preserve">July 2025: The walkback</w:t>
      </w:r>
      <w:r>
        <w:t xml:space="preserve">”</w:t>
      </w:r>
      <w:r>
        <w:t xml:space="preserve">;</w:t>
      </w:r>
      <w:r>
        <w:t xml:space="preserve"> </w:t>
      </w:r>
      <w:r>
        <w:t xml:space="preserve">“</w:t>
      </w:r>
      <w:r>
        <w:t xml:space="preserve">an unsigned memo</w:t>
      </w:r>
      <w:r>
        <w:t xml:space="preserve">”</w:t>
      </w:r>
      <w:r>
        <w:t xml:space="preserve">). EFTA (Public Law 119-38) followed on November 19, 2025.</w:t>
      </w:r>
    </w:p>
  </w:footnote>
  <w:footnote w:id="110">
    <w:p>
      <w:pPr>
        <w:pStyle w:val="FootnoteText"/>
      </w:pPr>
      <w:r>
        <w:rPr>
          <w:rStyle w:val="FootnoteReference"/>
        </w:rPr>
        <w:footnoteRef/>
      </w:r>
      <w:r>
        <w:t xml:space="preserve"> </w:t>
      </w:r>
      <w:r>
        <w:t xml:space="preserve">Compliance status from DOJ EFTA Compliance Letters #1 (December 19, 2025), https://www.justice.gov/opa/media/1434851/dl, and #2 (January 30, 2026), https://www.justice.gov/opa/media/1426091/dl, with later dated developments noted below. Letter #2 (pp. 1–2) reports</w:t>
      </w:r>
      <w:r>
        <w:t xml:space="preserve"> </w:t>
      </w:r>
      <w:r>
        <w:t xml:space="preserve">“</w:t>
      </w:r>
      <w:r>
        <w:t xml:space="preserve">more than 6 million pages… identified as potentially responsive</w:t>
      </w:r>
      <w:r>
        <w:t xml:space="preserve">”</w:t>
      </w:r>
      <w:r>
        <w:t xml:space="preserve"> </w:t>
      </w:r>
      <w:r>
        <w:t xml:space="preserve">and</w:t>
      </w:r>
      <w:r>
        <w:t xml:space="preserve"> </w:t>
      </w:r>
      <w:r>
        <w:t xml:space="preserve">“</w:t>
      </w:r>
      <w:r>
        <w:t xml:space="preserve">over 3 million responsive pages… nearly 3.5 million pages released</w:t>
      </w:r>
      <w:r>
        <w:t xml:space="preserve">”</w:t>
      </w:r>
      <w:r>
        <w:t xml:space="preserve"> </w:t>
      </w:r>
      <w:r>
        <w:t xml:space="preserve">cumulatively; the 6 million is the identified pool, the 3.5 million the released total combined with prior releases (Letter #2 does not itemize them; Letter #1, p. 5, separately lists over 33,000 pages produced to Congress on August 22, 2025). Letter #1 (p. 6) reports that the U.S. Attorney’s Office for the Southern District of New York produced 3.6 million records. The December 19, 2025 statutory deadline (§ 2(a)) was missed; the cited production sequence ran through January 30, 2026; February 14 was the report date; the § 2(c)(2) Federal Register per-redaction publication was absent at the May 27, 2026 check (federalregister.gov API: zero matches; DOJ had posted a Justice.gov</w:t>
      </w:r>
      <w:r>
        <w:t xml:space="preserve"> </w:t>
      </w:r>
      <w:r>
        <w:t xml:space="preserve">“</w:t>
      </w:r>
      <w:r>
        <w:t xml:space="preserve">EFTA-FOIA Crosswalk</w:t>
      </w:r>
      <w:r>
        <w:t xml:space="preserve">”</w:t>
      </w:r>
      <w:r>
        <w:t xml:space="preserve"> </w:t>
      </w:r>
      <w:r>
        <w:t xml:space="preserve">instead). DOJ’s August 27, 2026 notice,</w:t>
      </w:r>
      <w:r>
        <w:t xml:space="preserve"> </w:t>
      </w:r>
      <w:r>
        <w:t xml:space="preserve">“</w:t>
      </w:r>
      <w:r>
        <w:t xml:space="preserve">Report Under Public Law 119-38</w:t>
      </w:r>
      <w:r>
        <w:t xml:space="preserve">”</w:t>
      </w:r>
      <w:r>
        <w:t xml:space="preserve"> </w:t>
      </w:r>
      <w:r>
        <w:t xml:space="preserve">(FR Doc. 2026-17533), republished the Section 3 Report without record-level entries. The September 16 order, ECF 43, pp. 17–18, discharged publication show cause while reserving content adequacy; this paper does not state a final judicial holding against the notice.</w:t>
      </w:r>
    </w:p>
  </w:footnote>
  <w:footnote w:id="111">
    <w:p>
      <w:pPr>
        <w:pStyle w:val="FootnoteText"/>
      </w:pPr>
      <w:r>
        <w:rPr>
          <w:rStyle w:val="FootnoteReference"/>
        </w:rPr>
        <w:footnoteRef/>
      </w:r>
      <w:r>
        <w:t xml:space="preserve"> </w:t>
      </w:r>
      <w:r>
        <w:t xml:space="preserve">Released-page count measured directly from the DOJ EFTA production manifests for Data Sets 1 through 12, as counted through Bates EFTA02731789: 1,378,393 Bates-EFTA PDF documents summing to 2,729,256 pages (three documents carry no recorded page count). An independent public mirror (epstein-data.com v5.2 concordance index) counts 1,380,964 EFTA-Bates documents and 2,731,789 pages; the 2,571-identifier difference consists of nominal Bates-span-gap placeholders with no filename, title, or document content, in 432 contiguous runs by the project’s recount of the reconciliation record’s own data file (the record’s text states 429). Bates-EFTA records that DOJ published above EFTA02731789 (Appendix A.1) are outside these counts. DOJ’s January 30, 2026 Compliance Letter #2 (p. 2) reports releasing</w:t>
      </w:r>
      <w:r>
        <w:t xml:space="preserve"> </w:t>
      </w:r>
      <w:r>
        <w:t xml:space="preserve">“</w:t>
      </w:r>
      <w:r>
        <w:t xml:space="preserve">over 3 million</w:t>
      </w:r>
      <w:r>
        <w:t xml:space="preserve">”</w:t>
      </w:r>
      <w:r>
        <w:t xml:space="preserve"> </w:t>
      </w:r>
      <w:r>
        <w:t xml:space="preserve">responsive pages and</w:t>
      </w:r>
      <w:r>
        <w:t xml:space="preserve"> </w:t>
      </w:r>
      <w:r>
        <w:t xml:space="preserve">“</w:t>
      </w:r>
      <w:r>
        <w:t xml:space="preserve">nearly 3.5 million</w:t>
      </w:r>
      <w:r>
        <w:t xml:space="preserve">”</w:t>
      </w:r>
      <w:r>
        <w:t xml:space="preserve"> </w:t>
      </w:r>
      <w:r>
        <w:t xml:space="preserve">combined with prior productions; the February 14, 2026 Section 3 Report states no count. The gap between the claimed and measured totals is unreconciled in the compliance record.</w:t>
      </w:r>
    </w:p>
  </w:footnote>
  <w:footnote w:id="112">
    <w:p>
      <w:pPr>
        <w:pStyle w:val="FootnoteText"/>
      </w:pPr>
      <w:r>
        <w:rPr>
          <w:rStyle w:val="FootnoteReference"/>
        </w:rPr>
        <w:footnoteRef/>
      </w:r>
      <w:r>
        <w:t xml:space="preserve"> </w:t>
      </w:r>
      <w:r>
        <w:t xml:space="preserve">A phrase search of the project’s full-text index for</w:t>
      </w:r>
      <w:r>
        <w:t xml:space="preserve"> </w:t>
      </w:r>
      <w:r>
        <w:t xml:space="preserve">“</w:t>
      </w:r>
      <w:r>
        <w:t xml:space="preserve">just redaction boxes</w:t>
      </w:r>
      <w:r>
        <w:t xml:space="preserve">”</w:t>
      </w:r>
      <w:r>
        <w:t xml:space="preserve"> </w:t>
      </w:r>
      <w:r>
        <w:t xml:space="preserve">returns nine documents: seven copies of a two-page guidance sheet (EFTA00161485, EFTA00161592, EFTA00163142, EFTA00163144, EFTA01649097, EFTA01655727, EFTA01655729) and two scans of the March 21, 2025 training deck (EFTA00172329, EFTA00172446). Recount in the author’s recomputation record of September 30, 2026, content version 1dc567730c04, available on request.</w:t>
      </w:r>
    </w:p>
  </w:footnote>
  <w:footnote w:id="113">
    <w:p>
      <w:pPr>
        <w:pStyle w:val="FootnoteText"/>
      </w:pPr>
      <w:r>
        <w:rPr>
          <w:rStyle w:val="FootnoteReference"/>
        </w:rPr>
        <w:footnoteRef/>
      </w:r>
      <w:r>
        <w:t xml:space="preserve"> </w:t>
      </w:r>
      <w:r>
        <w:t xml:space="preserve">DOJ EFTA production, EFTA00172446, PDF p. 1 (March 21, 2025 training date), p. 6 (</w:t>
      </w:r>
      <w:r>
        <w:t xml:space="preserve">“</w:t>
      </w:r>
      <w:r>
        <w:t xml:space="preserve">Do not add any exemptions; just redaction boxes</w:t>
      </w:r>
      <w:r>
        <w:t xml:space="preserve">”</w:t>
      </w:r>
      <w:r>
        <w:t xml:space="preserve">, without a period). EFTA00172329 is a second scan of the same training, not independent evidence. The instruction concerns the earlier processing workflow. DOJ’s January 30, 2026 letter describes updated protocols and FAQs; neither the training nor released box-only pages proves that the old instruction governed post-enactment review.</w:t>
      </w:r>
      <w:r>
        <w:t xml:space="preserve"> </w:t>
      </w:r>
      <w:r>
        <w:t xml:space="preserve">“</w:t>
      </w:r>
      <w:r>
        <w:t xml:space="preserve">EFTA</w:t>
      </w:r>
      <w:r>
        <w:t xml:space="preserve">”</w:t>
      </w:r>
      <w:r>
        <w:t xml:space="preserve"> </w:t>
      </w:r>
      <w:r>
        <w:t xml:space="preserve">followed by eight digits is the Bates number DOJ stamped on each document of the production; each document is posted in the Department’s Epstein Library at an address of the form https://www.justice.gov/epstein/files/DataSet%2012/EFTA02858481.pdf, with the data-set number and Bates number varying.</w:t>
      </w:r>
    </w:p>
  </w:footnote>
  <w:footnote w:id="114">
    <w:p>
      <w:pPr>
        <w:pStyle w:val="FootnoteText"/>
      </w:pPr>
      <w:r>
        <w:rPr>
          <w:rStyle w:val="FootnoteReference"/>
        </w:rPr>
        <w:footnoteRef/>
      </w:r>
      <w:r>
        <w:t xml:space="preserve"> </w:t>
      </w:r>
      <w:r>
        <w:t xml:space="preserve">U.S. Department of Justice, Office of the Deputy Attorney General,</w:t>
      </w:r>
      <w:r>
        <w:t xml:space="preserve"> </w:t>
      </w:r>
      <w:r>
        <w:rPr>
          <w:iCs/>
          <w:i/>
        </w:rPr>
        <w:t xml:space="preserve">EFTA Compliance Letter #2</w:t>
      </w:r>
      <w:r>
        <w:t xml:space="preserve">, January 30, 2026, pp. 2–3 (release totals; review protocols, updated guidance, and FAQs), 4 (Member access; privilege-based redactions; no withholding on classification grounds), 5 (third-party material produced with its original redactions; foreign-language and technically incompatible files not produced), and 6 (</w:t>
      </w:r>
      <w:r>
        <w:t xml:space="preserve">“</w:t>
      </w:r>
      <w:r>
        <w:t xml:space="preserve">Today’s release marks the end of a comprehensive document identification and review process</w:t>
      </w:r>
      <w:r>
        <w:t xml:space="preserve">”</w:t>
      </w:r>
      <w:r>
        <w:t xml:space="preserve">; the report and the Federal Register justifications still to come).</w:t>
      </w:r>
    </w:p>
  </w:footnote>
  <w:footnote w:id="115">
    <w:p>
      <w:pPr>
        <w:pStyle w:val="FootnoteText"/>
      </w:pPr>
      <w:r>
        <w:rPr>
          <w:rStyle w:val="FootnoteReference"/>
        </w:rPr>
        <w:footnoteRef/>
      </w:r>
      <w:r>
        <w:t xml:space="preserve"> </w:t>
      </w:r>
      <w:r>
        <w:rPr>
          <w:iCs/>
          <w:i/>
        </w:rPr>
        <w:t xml:space="preserve">Phang v. Blanche</w:t>
      </w:r>
      <w:r>
        <w:t xml:space="preserve">, No. 1:26-cv-01417 (D.D.C.), Judge Emmet G. Sullivan: ECF 15, June 25, 2026 (preliminary-injunction order), https://clearinghouse-umich-production.s3.amazonaws.com/media/doc/172046.pdf; ECF 16, June 25, 2026 (memorandum opinion), pp. 17–18 (jurisdictional arguments), 36 (merits arguments treated as conceded, citing Local Civil Rule 7(b)), and 46, https://clearinghouse-umich-production.s3.amazonaws.com/media/doc/172048.pdf; ECF 42, September 16, 2026, https://cases.justia.com/federal/district-courts/district-of-columbia/dcdce/1:2026cv01417/291779/42/0.pdf; ECF 43, September 16, 2026, pp. 2 (merits conceded), 4 and 10 (the</w:t>
      </w:r>
      <w:r>
        <w:t xml:space="preserve"> </w:t>
      </w:r>
      <w:r>
        <w:t xml:space="preserve">“</w:t>
      </w:r>
      <w:r>
        <w:t xml:space="preserve">EFTA First Level Review Protocol,</w:t>
      </w:r>
      <w:r>
        <w:t xml:space="preserve">”</w:t>
      </w:r>
      <w:r>
        <w:t xml:space="preserve"> </w:t>
      </w:r>
      <w:r>
        <w:t xml:space="preserve">cited</w:t>
      </w:r>
      <w:r>
        <w:t xml:space="preserve"> </w:t>
      </w:r>
      <w:r>
        <w:t xml:space="preserve">“</w:t>
      </w:r>
      <w:r>
        <w:t xml:space="preserve">(Jan. 4, 2026)</w:t>
      </w:r>
      <w:r>
        <w:t xml:space="preserve">”</w:t>
      </w:r>
      <w:r>
        <w:t xml:space="preserve"> </w:t>
      </w:r>
      <w:r>
        <w:t xml:space="preserve">although, by the order’s own account at p. 11, attached to the December 19 letter; whether the Act permits Privacy Act redactions</w:t>
      </w:r>
      <w:r>
        <w:t xml:space="preserve"> </w:t>
      </w:r>
      <w:r>
        <w:t xml:space="preserve">“</w:t>
      </w:r>
      <w:r>
        <w:t xml:space="preserve">is not presently before the Court</w:t>
      </w:r>
      <w:r>
        <w:t xml:space="preserve">”</w:t>
      </w:r>
      <w:r>
        <w:t xml:space="preserve">), 12 (the protocol</w:t>
      </w:r>
      <w:r>
        <w:t xml:space="preserve"> </w:t>
      </w:r>
      <w:r>
        <w:t xml:space="preserve">“</w:t>
      </w:r>
      <w:r>
        <w:t xml:space="preserve">requires the redactions of government personnel and their email addresses</w:t>
      </w:r>
      <w:r>
        <w:t xml:space="preserve">”</w:t>
      </w:r>
      <w:r>
        <w:t xml:space="preserve">), 13 (appeal No. 26-5299; stay denied), 15 (contempt premature), 16, and 17, https://cases.justia.com/federal/district-courts/district-of-columbia/dcdce/1:2026cv01417/291779/43/0.pdf. A further appeal, No. 26-5334, was docketed in the D.C. Circuit on September 21, 2026 (CourtListener docket). Court pagination is used; these are separately dated updates, not a refreshed corpus run.</w:t>
      </w:r>
    </w:p>
  </w:footnote>
  <w:footnote w:id="116">
    <w:p>
      <w:pPr>
        <w:pStyle w:val="FootnoteText"/>
      </w:pPr>
      <w:r>
        <w:rPr>
          <w:rStyle w:val="FootnoteReference"/>
        </w:rPr>
        <w:footnoteRef/>
      </w:r>
      <w:r>
        <w:t xml:space="preserve"> </w:t>
      </w:r>
      <w:r>
        <w:t xml:space="preserve">Al Jazeera Staff,</w:t>
      </w:r>
      <w:r>
        <w:t xml:space="preserve"> </w:t>
      </w:r>
      <w:r>
        <w:t xml:space="preserve">“</w:t>
      </w:r>
      <w:r>
        <w:t xml:space="preserve">Pam Bondi Epstein hearing: Key takeaways,</w:t>
      </w:r>
      <w:r>
        <w:t xml:space="preserve">”</w:t>
      </w:r>
      <w:r>
        <w:t xml:space="preserve"> </w:t>
      </w:r>
      <w:r>
        <w:t xml:space="preserve">Al Jazeera, February 12, 2026, https://www.aljazeera.com/news/2026/2/12/pam-bondi-epstein-hearing-key-takeaways (Bondi</w:t>
      </w:r>
      <w:r>
        <w:t xml:space="preserve"> </w:t>
      </w:r>
      <w:r>
        <w:t xml:space="preserve">“</w:t>
      </w:r>
      <w:r>
        <w:t xml:space="preserve">said Wexner’s name appeared numerous times in other files the department released and that the DOJ unredacted his name on the document</w:t>
      </w:r>
      <w:r>
        <w:t xml:space="preserve"> </w:t>
      </w:r>
      <w:r>
        <w:t xml:space="preserve">‘</w:t>
      </w:r>
      <w:r>
        <w:t xml:space="preserve">within 40 minutes</w:t>
      </w:r>
      <w:r>
        <w:t xml:space="preserve">’</w:t>
      </w:r>
      <w:r>
        <w:t xml:space="preserve"> </w:t>
      </w:r>
      <w:r>
        <w:t xml:space="preserve">of Massie spotting it</w:t>
      </w:r>
      <w:r>
        <w:t xml:space="preserve">”</w:t>
      </w:r>
      <w:r>
        <w:t xml:space="preserve">). This is a news account of hearing testimony; the hearing transcript was not reviewed for this edition.</w:t>
      </w:r>
    </w:p>
  </w:footnote>
  <w:footnote w:id="117">
    <w:p>
      <w:pPr>
        <w:pStyle w:val="FootnoteText"/>
      </w:pPr>
      <w:r>
        <w:rPr>
          <w:rStyle w:val="FootnoteReference"/>
        </w:rPr>
        <w:footnoteRef/>
      </w:r>
      <w:r>
        <w:t xml:space="preserve"> </w:t>
      </w:r>
      <w:r>
        <w:t xml:space="preserve">House Committee on Oversight and Government Reform, Transcribed Interview of Pamela Bondi, May 29, 2026, https://oversight.house.gov/wp-content/uploads/2026/06/Final-Bondi-Transcript.pdf: PDF/printed p. 27 (Blanche supervised review), p. 28 (six-million-page collection), p. 29 (missed deadline and more than 500 attorneys). These are Bondi’s descriptions, not independent audit results. The introductory procedural statement identifies a transcribed interview rather than a sworn deposition. Liability for a false statement under 18 U.S.C. § 1001 differs from sworn perjury under § 1621; the availability of either requires its elements and prosecutorial action, not merely an inaccurate answer.</w:t>
      </w:r>
    </w:p>
  </w:footnote>
  <w:footnote w:id="119">
    <w:p>
      <w:pPr>
        <w:pStyle w:val="FootnoteText"/>
      </w:pPr>
      <w:r>
        <w:rPr>
          <w:rStyle w:val="FootnoteReference"/>
        </w:rPr>
        <w:footnoteRef/>
      </w:r>
      <w:r>
        <w:t xml:space="preserve"> </w:t>
      </w:r>
      <w:r>
        <w:t xml:space="preserve">The four inherited record or redaction groupings: Bureau of Prisons records withheld under FOIA Exemption 7(A) on the basis of</w:t>
      </w:r>
      <w:r>
        <w:t xml:space="preserve"> </w:t>
      </w:r>
      <w:r>
        <w:rPr>
          <w:iCs/>
          <w:i/>
        </w:rPr>
        <w:t xml:space="preserve">United States v. Tartaglione</w:t>
      </w:r>
      <w:r>
        <w:t xml:space="preserve">, No. 16-cr-832 (KMK) (S.D.N.Y.), in</w:t>
      </w:r>
      <w:r>
        <w:t xml:space="preserve"> </w:t>
      </w:r>
      <w:r>
        <w:rPr>
          <w:iCs/>
          <w:i/>
        </w:rPr>
        <w:t xml:space="preserve">The New York Times Co. v. Federal Bureau of Prisons</w:t>
      </w:r>
      <w:r>
        <w:t xml:space="preserve">, No. 20 Civ. 833 (PAE) (S.D.N.Y.), as the government’s letter of April 28, 2021 (ECF 52) records (EFTA00085218, p. 1); the</w:t>
      </w:r>
      <w:r>
        <w:t xml:space="preserve"> </w:t>
      </w:r>
      <w:r>
        <w:rPr>
          <w:iCs/>
          <w:i/>
        </w:rPr>
        <w:t xml:space="preserve">United States v. Maxwell</w:t>
      </w:r>
      <w:r>
        <w:t xml:space="preserve"> </w:t>
      </w:r>
      <w:r>
        <w:t xml:space="preserve">trial record (sealed under Second Circuit rules,</w:t>
      </w:r>
      <w:r>
        <w:t xml:space="preserve"> </w:t>
      </w:r>
      <w:r>
        <w:rPr>
          <w:iCs/>
          <w:i/>
        </w:rPr>
        <w:t xml:space="preserve">Lugosch v. Pyramid Co. of Onondaga</w:t>
      </w:r>
      <w:r>
        <w:t xml:space="preserve">); FBI investigative files (Privacy Act subsection (j)(2)); and files stamped</w:t>
      </w:r>
      <w:r>
        <w:t xml:space="preserve"> </w:t>
      </w:r>
      <w:r>
        <w:t xml:space="preserve">“</w:t>
      </w:r>
      <w:r>
        <w:t xml:space="preserve">FOIA Exempt / SBU.</w:t>
      </w:r>
      <w:r>
        <w:t xml:space="preserve">”</w:t>
      </w:r>
    </w:p>
  </w:footnote>
  <w:footnote w:id="120">
    <w:p>
      <w:pPr>
        <w:pStyle w:val="FootnoteText"/>
      </w:pPr>
      <w:r>
        <w:rPr>
          <w:rStyle w:val="FootnoteReference"/>
        </w:rPr>
        <w:footnoteRef/>
      </w:r>
      <w:r>
        <w:t xml:space="preserve"> </w:t>
      </w:r>
      <w:r>
        <w:t xml:space="preserve">Document Set A is the union of eight phrase queries (</w:t>
      </w:r>
      <w:r>
        <w:t xml:space="preserve">“</w:t>
      </w:r>
      <w:r>
        <w:t xml:space="preserve">FOIA Exemption,</w:t>
      </w:r>
      <w:r>
        <w:t xml:space="preserve">”</w:t>
      </w:r>
      <w:r>
        <w:t xml:space="preserve"> </w:t>
      </w:r>
      <w:r>
        <w:t xml:space="preserve">“</w:t>
      </w:r>
      <w:r>
        <w:t xml:space="preserve">withheld pursuant to,</w:t>
      </w:r>
      <w:r>
        <w:t xml:space="preserve">”</w:t>
      </w:r>
      <w:r>
        <w:t xml:space="preserve"> </w:t>
      </w:r>
      <w:r>
        <w:t xml:space="preserve">“</w:t>
      </w:r>
      <w:r>
        <w:t xml:space="preserve">REDACTED,</w:t>
      </w:r>
      <w:r>
        <w:t xml:space="preserve">”</w:t>
      </w:r>
      <w:r>
        <w:t xml:space="preserve"> </w:t>
      </w:r>
      <w:r>
        <w:t xml:space="preserve">“</w:t>
      </w:r>
      <w:r>
        <w:t xml:space="preserve">Lugosch,</w:t>
      </w:r>
      <w:r>
        <w:t xml:space="preserve">”</w:t>
      </w:r>
      <w:r>
        <w:t xml:space="preserve"> </w:t>
      </w:r>
      <w:r>
        <w:t xml:space="preserve">“</w:t>
      </w:r>
      <w:r>
        <w:t xml:space="preserve">FOIA Exempt,</w:t>
      </w:r>
      <w:r>
        <w:t xml:space="preserve">”</w:t>
      </w:r>
      <w:r>
        <w:t xml:space="preserve"> </w:t>
      </w:r>
      <w:r>
        <w:t xml:space="preserve">“</w:t>
      </w:r>
      <w:r>
        <w:t xml:space="preserve">Tartaglione,</w:t>
      </w:r>
      <w:r>
        <w:t xml:space="preserve">”</w:t>
      </w:r>
      <w:r>
        <w:t xml:space="preserve"> </w:t>
      </w:r>
      <w:r>
        <w:t xml:space="preserve">“</w:t>
      </w:r>
      <w:r>
        <w:t xml:space="preserve">Privacy Act exemption,</w:t>
      </w:r>
      <w:r>
        <w:t xml:space="preserve">”</w:t>
      </w:r>
      <w:r>
        <w:t xml:space="preserve"> </w:t>
      </w:r>
      <w:r>
        <w:t xml:space="preserve">“</w:t>
      </w:r>
      <w:r>
        <w:t xml:space="preserve">proposed redactions</w:t>
      </w:r>
      <w:r>
        <w:t xml:space="preserve">”</w:t>
      </w:r>
      <w:r>
        <w:t xml:space="preserve">) over Data Sets 1 through 12: 2,670 documents. Author’s classification summary, generated May 3, 2026, content version bda36472330f (Set A: 569 inherited-framework, 314 common-law-privilege, and 1,576 fallback assignments; Set B, the 446,675 documents assigned to any signal cluster: 571 inherited-framework and 444,298 privilege-language documents). Author’s recomputation of September 30, 2026, content version 1dc567730c04, which reproduces the Set A figures and divides its 314 privilege-language documents into 122 disclaimer-only, 100 with privilege language outside a redaction context, and 92 in a redaction context; the June 24, 2026 privilege-subclass manifest (content version 4b266cc08c98) divides the corpus-wide 444,298 into 435,453 disclaimer-only and 8,845 others. Records available on request.</w:t>
      </w:r>
    </w:p>
  </w:footnote>
  <w:footnote w:id="122">
    <w:p>
      <w:pPr>
        <w:pStyle w:val="FootnoteText"/>
      </w:pPr>
      <w:r>
        <w:rPr>
          <w:rStyle w:val="FootnoteReference"/>
        </w:rPr>
        <w:footnoteRef/>
      </w:r>
      <w:r>
        <w:t xml:space="preserve"> </w:t>
      </w:r>
      <w:r>
        <w:t xml:space="preserve">DOJ, Section 3 Report, February 14, 2026, pp. 2–3 (</w:t>
      </w:r>
      <w:r>
        <w:t xml:space="preserve">“</w:t>
      </w:r>
      <w:r>
        <w:t xml:space="preserve">Summary of Redactions Made and Legal Basis</w:t>
      </w:r>
      <w:r>
        <w:t xml:space="preserve">”</w:t>
      </w:r>
      <w:r>
        <w:t xml:space="preserve">), https://www.justice.gov/opa/media/1434856/dl. The authorities it cites are Federal Rule of Evidence 501;</w:t>
      </w:r>
      <w:r>
        <w:t xml:space="preserve"> </w:t>
      </w:r>
      <w:r>
        <w:rPr>
          <w:iCs/>
          <w:i/>
        </w:rPr>
        <w:t xml:space="preserve">Trammel v. United States</w:t>
      </w:r>
      <w:r>
        <w:t xml:space="preserve">, 445 U.S. 40, 47 (1980);</w:t>
      </w:r>
      <w:r>
        <w:t xml:space="preserve"> </w:t>
      </w:r>
      <w:r>
        <w:rPr>
          <w:iCs/>
          <w:i/>
        </w:rPr>
        <w:t xml:space="preserve">FBI v. Fazaga</w:t>
      </w:r>
      <w:r>
        <w:t xml:space="preserve">, 595 U.S. 344, 355 (2022);</w:t>
      </w:r>
      <w:r>
        <w:t xml:space="preserve"> </w:t>
      </w:r>
      <w:r>
        <w:rPr>
          <w:iCs/>
          <w:i/>
        </w:rPr>
        <w:t xml:space="preserve">Bassett v. United States</w:t>
      </w:r>
      <w:r>
        <w:t xml:space="preserve">, 137 U.S. 496, 505–06 (1890); and</w:t>
      </w:r>
      <w:r>
        <w:t xml:space="preserve"> </w:t>
      </w:r>
      <w:r>
        <w:rPr>
          <w:iCs/>
          <w:i/>
        </w:rPr>
        <w:t xml:space="preserve">Oklahoma v. Castro-Huerta</w:t>
      </w:r>
      <w:r>
        <w:t xml:space="preserve">, 597 U.S. 629, 642 (2022). In</w:t>
      </w:r>
      <w:r>
        <w:t xml:space="preserve"> </w:t>
      </w:r>
      <w:r>
        <w:rPr>
          <w:iCs/>
          <w:i/>
        </w:rPr>
        <w:t xml:space="preserve">Fazaga</w:t>
      </w:r>
      <w:r>
        <w:t xml:space="preserve"> </w:t>
      </w:r>
      <w:r>
        <w:t xml:space="preserve">the Court stated the clear-statement rule for the state-secrets privilege, applying it</w:t>
      </w:r>
      <w:r>
        <w:t xml:space="preserve"> </w:t>
      </w:r>
      <w:r>
        <w:t xml:space="preserve">“</w:t>
      </w:r>
      <w:r>
        <w:t xml:space="preserve">[r]egardless of whether the state secrets privilege is rooted only in the common law (as respondents argue) or also in the Constitution (as the Government argues)</w:t>
      </w:r>
      <w:r>
        <w:t xml:space="preserve">”</w:t>
      </w:r>
      <w:r>
        <w:t xml:space="preserve"> </w:t>
      </w:r>
      <w:r>
        <w:t xml:space="preserve">and citing the general presumption against abrogating common-law principles,</w:t>
      </w:r>
      <w:r>
        <w:t xml:space="preserve"> </w:t>
      </w:r>
      <w:r>
        <w:rPr>
          <w:iCs/>
          <w:i/>
        </w:rPr>
        <w:t xml:space="preserve">Norfolk Redevelopment and Housing Authority v. Chesapeake &amp; Potomac Telephone Co. of Va.</w:t>
      </w:r>
      <w:r>
        <w:t xml:space="preserve">, 464 U.S. 30, 35 (1983) (slip op. at 9), which is the strongest ground for extending the rule to ordinary privileges; the Act’s answers are its express coverage of internal charging communications (§ 2(a)(7)) and its enumerated withholdings. The Court said its decision</w:t>
      </w:r>
      <w:r>
        <w:t xml:space="preserve"> </w:t>
      </w:r>
      <w:r>
        <w:t xml:space="preserve">“</w:t>
      </w:r>
      <w:r>
        <w:t xml:space="preserve">addresses only the narrow question whether §1806(f) displaces the state secrets privilege</w:t>
      </w:r>
      <w:r>
        <w:t xml:space="preserve">”</w:t>
      </w:r>
      <w:r>
        <w:t xml:space="preserve"> </w:t>
      </w:r>
      <w:r>
        <w:t xml:space="preserve">(slip op. at 13). The approximately 200,000-page privilege figure comes from the January 30 letter (p. 4) and is not a disjoint withholding total.</w:t>
      </w:r>
      <w:r>
        <w:t xml:space="preserve"> </w:t>
      </w:r>
      <w:r>
        <w:rPr>
          <w:iCs/>
          <w:i/>
        </w:rPr>
        <w:t xml:space="preserve">NLRB v. Sears, Roebuck &amp; Co.</w:t>
      </w:r>
      <w:r>
        <w:t xml:space="preserve">, 421 U.S. 132 (1975),</w:t>
      </w:r>
      <w:r>
        <w:t xml:space="preserve"> </w:t>
      </w:r>
      <w:r>
        <w:rPr>
          <w:iCs/>
          <w:i/>
        </w:rPr>
        <w:t xml:space="preserve">Hickman v. Taylor</w:t>
      </w:r>
      <w:r>
        <w:t xml:space="preserve">, 329 U.S. 495 (1947), and</w:t>
      </w:r>
      <w:r>
        <w:t xml:space="preserve"> </w:t>
      </w:r>
      <w:r>
        <w:rPr>
          <w:iCs/>
          <w:i/>
        </w:rPr>
        <w:t xml:space="preserve">Upjohn Co. v. United States</w:t>
      </w:r>
      <w:r>
        <w:t xml:space="preserve">, 449 U.S. 383 (1981), are the author’s background on the privileges, not authorities DOJ cites. The August 27, 2026 Federal Register notice republished the Section 3 Report</w:t>
      </w:r>
      <w:r>
        <w:t xml:space="preserve"> </w:t>
      </w:r>
      <w:r>
        <w:t xml:space="preserve">“</w:t>
      </w:r>
      <w:r>
        <w:t xml:space="preserve">pursuant to Section 2 of the Act,</w:t>
      </w:r>
      <w:r>
        <w:t xml:space="preserve">”</w:t>
      </w:r>
      <w:r>
        <w:t xml:space="preserve"> </w:t>
      </w:r>
      <w:r>
        <w:t xml:space="preserve">and DOJ</w:t>
      </w:r>
      <w:r>
        <w:t xml:space="preserve"> </w:t>
      </w:r>
      <w:r>
        <w:t xml:space="preserve">“</w:t>
      </w:r>
      <w:r>
        <w:t xml:space="preserve">claims that this satisfies section 2(c)(2)</w:t>
      </w:r>
      <w:r>
        <w:t xml:space="preserve">”</w:t>
      </w:r>
      <w:r>
        <w:t xml:space="preserve"> </w:t>
      </w:r>
      <w:r>
        <w:t xml:space="preserve">(</w:t>
      </w:r>
      <w:r>
        <w:rPr>
          <w:iCs/>
          <w:i/>
        </w:rPr>
        <w:t xml:space="preserve">Phang</w:t>
      </w:r>
      <w:r>
        <w:t xml:space="preserve">, ECF 43, p. 17).</w:t>
      </w:r>
    </w:p>
  </w:footnote>
  <w:footnote w:id="123">
    <w:p>
      <w:pPr>
        <w:pStyle w:val="FootnoteText"/>
      </w:pPr>
      <w:r>
        <w:rPr>
          <w:rStyle w:val="FootnoteReference"/>
        </w:rPr>
        <w:footnoteRef/>
      </w:r>
      <w:r>
        <w:t xml:space="preserve"> </w:t>
      </w:r>
      <w:r>
        <w:t xml:space="preserve">U.S. Department of Justice,</w:t>
      </w:r>
      <w:r>
        <w:t xml:space="preserve"> </w:t>
      </w:r>
      <w:r>
        <w:rPr>
          <w:iCs/>
          <w:i/>
        </w:rPr>
        <w:t xml:space="preserve">Epstein Files Transparency Act: Section 3 Report to Congress</w:t>
      </w:r>
      <w:r>
        <w:t xml:space="preserve">, February 14, 2026, pp. 2–3, https://www.justice.gov/opa/media/1434856/dl.</w:t>
      </w:r>
    </w:p>
  </w:footnote>
  <w:footnote w:id="124">
    <w:p>
      <w:pPr>
        <w:pStyle w:val="FootnoteText"/>
      </w:pPr>
      <w:r>
        <w:rPr>
          <w:rStyle w:val="FootnoteReference"/>
        </w:rPr>
        <w:footnoteRef/>
      </w:r>
      <w:r>
        <w:t xml:space="preserve"> </w:t>
      </w:r>
      <w:r>
        <w:t xml:space="preserve">U.S. Department of Justice, Office of Information Policy,</w:t>
      </w:r>
      <w:r>
        <w:t xml:space="preserve"> </w:t>
      </w:r>
      <w:r>
        <w:rPr>
          <w:iCs/>
          <w:i/>
        </w:rPr>
        <w:t xml:space="preserve">EFTA-FOIA Crosswalk</w:t>
      </w:r>
      <w:r>
        <w:t xml:space="preserve">, pp. 1–2, April 30, 2026, https://www.justice.gov/oip/media/1438931/dl. The table contains no Section 2(c)(1)(E) row. The phrases</w:t>
      </w:r>
      <w:r>
        <w:t xml:space="preserve"> </w:t>
      </w:r>
      <w:r>
        <w:t xml:space="preserve">“</w:t>
      </w:r>
      <w:r>
        <w:t xml:space="preserve">law-enforcement sensitive purposes</w:t>
      </w:r>
      <w:r>
        <w:t xml:space="preserve">”</w:t>
      </w:r>
      <w:r>
        <w:t xml:space="preserve"> </w:t>
      </w:r>
      <w:r>
        <w:t xml:space="preserve">and</w:t>
      </w:r>
      <w:r>
        <w:t xml:space="preserve"> </w:t>
      </w:r>
      <w:r>
        <w:t xml:space="preserve">“</w:t>
      </w:r>
      <w:r>
        <w:t xml:space="preserve">substantially similar</w:t>
      </w:r>
      <w:r>
        <w:t xml:space="preserve">”</w:t>
      </w:r>
      <w:r>
        <w:t xml:space="preserve"> </w:t>
      </w:r>
      <w:r>
        <w:t xml:space="preserve">are not in the crosswalk: Section 3 Report, p. 4 n.2 (individuals</w:t>
      </w:r>
      <w:r>
        <w:t xml:space="preserve"> </w:t>
      </w:r>
      <w:r>
        <w:t xml:space="preserve">“</w:t>
      </w:r>
      <w:r>
        <w:t xml:space="preserve">whose names were redacted for law-enforcement sensitive purposes are not included</w:t>
      </w:r>
      <w:r>
        <w:t xml:space="preserve">”</w:t>
      </w:r>
      <w:r>
        <w:t xml:space="preserve">);</w:t>
      </w:r>
      <w:r>
        <w:t xml:space="preserve"> </w:t>
      </w:r>
      <w:r>
        <w:rPr>
          <w:iCs/>
          <w:i/>
        </w:rPr>
        <w:t xml:space="preserve">Phang v. Blanche</w:t>
      </w:r>
      <w:r>
        <w:t xml:space="preserve">, ECF 43, pp. 4–5 (the Department’s position that the handwritten interview notes are</w:t>
      </w:r>
      <w:r>
        <w:t xml:space="preserve"> </w:t>
      </w:r>
      <w:r>
        <w:t xml:space="preserve">“</w:t>
      </w:r>
      <w:r>
        <w:t xml:space="preserve">substantially similar to</w:t>
      </w:r>
      <w:r>
        <w:t xml:space="preserve">”</w:t>
      </w:r>
      <w:r>
        <w:t xml:space="preserve"> </w:t>
      </w:r>
      <w:r>
        <w:t xml:space="preserve">the typewritten reports).</w:t>
      </w:r>
    </w:p>
  </w:footnote>
  <w:footnote w:id="125">
    <w:p>
      <w:pPr>
        <w:pStyle w:val="FootnoteText"/>
      </w:pPr>
      <w:r>
        <w:rPr>
          <w:rStyle w:val="FootnoteReference"/>
        </w:rPr>
        <w:footnoteRef/>
      </w:r>
      <w:r>
        <w:t xml:space="preserve"> </w:t>
      </w:r>
      <w:r>
        <w:rPr>
          <w:iCs/>
          <w:i/>
        </w:rPr>
        <w:t xml:space="preserve">United States v. Maxwell</w:t>
      </w:r>
      <w:r>
        <w:t xml:space="preserve">, No. 20-cr-330 (S.D.N.Y.), Opinion and Order of December 9, 2025 (ECF 820), cited in</w:t>
      </w:r>
      <w:r>
        <w:t xml:space="preserve"> </w:t>
      </w:r>
      <w:r>
        <w:rPr>
          <w:iCs/>
          <w:i/>
        </w:rPr>
        <w:t xml:space="preserve">Phang</w:t>
      </w:r>
      <w:r>
        <w:t xml:space="preserve"> </w:t>
      </w:r>
      <w:r>
        <w:t xml:space="preserve">(ECF 16, p. 30) as 811 F. Supp. 3d 667: pp. 14 (§ 2(a) is</w:t>
      </w:r>
      <w:r>
        <w:t xml:space="preserve"> </w:t>
      </w:r>
      <w:r>
        <w:t xml:space="preserve">“</w:t>
      </w:r>
      <w:r>
        <w:t xml:space="preserve">strikingly broad</w:t>
      </w:r>
      <w:r>
        <w:t xml:space="preserve">”</w:t>
      </w:r>
      <w:r>
        <w:t xml:space="preserve">; the enumerated exceptions), 15–16 (the later-in-time and specific-over-general canons:</w:t>
      </w:r>
      <w:r>
        <w:t xml:space="preserve"> </w:t>
      </w:r>
      <w:r>
        <w:t xml:space="preserve">“</w:t>
      </w:r>
      <w:r>
        <w:t xml:space="preserve">Both canons apply here with force</w:t>
      </w:r>
      <w:r>
        <w:t xml:space="preserve">”</w:t>
      </w:r>
      <w:r>
        <w:t xml:space="preserve">), 16 (§ 2(b)(1)), 17 (Rule 6(e) overridden</w:t>
      </w:r>
      <w:r>
        <w:t xml:space="preserve"> </w:t>
      </w:r>
      <w:r>
        <w:t xml:space="preserve">“</w:t>
      </w:r>
      <w:r>
        <w:t xml:space="preserve">in the very limited context of the Maxwell and Epstein grand jury materials</w:t>
      </w:r>
      <w:r>
        <w:t xml:space="preserve">”</w:t>
      </w:r>
      <w:r>
        <w:t xml:space="preserve">), 19 n.11, and 21 (the United States Attorney to</w:t>
      </w:r>
      <w:r>
        <w:t xml:space="preserve"> </w:t>
      </w:r>
      <w:r>
        <w:t xml:space="preserve">“</w:t>
      </w:r>
      <w:r>
        <w:t xml:space="preserve">personally certify</w:t>
      </w:r>
      <w:r>
        <w:t xml:space="preserve">”</w:t>
      </w:r>
      <w:r>
        <w:t xml:space="preserve"> </w:t>
      </w:r>
      <w:r>
        <w:t xml:space="preserve">compliance with § 2(c)(1)(A) before release), https://www.nysd.uscourts.gov/sites/default/files/2025-12/PAE%20Maxwell%20Opinion%202025.12.09%20%28As%20Docketed%29.pdf; Opinion and Order of January 21, 2026 (ECF 844), pp. 1 (motion by Representatives Massie and Khanna as amici), 4 (</w:t>
      </w:r>
      <w:r>
        <w:t xml:space="preserve">“</w:t>
      </w:r>
      <w:r>
        <w:t xml:space="preserve">No provision of the EFTA vests this Court with that authority</w:t>
      </w:r>
      <w:r>
        <w:t xml:space="preserve">”</w:t>
      </w:r>
      <w:r>
        <w:t xml:space="preserve">), and 7 and n.2 (without prejudice to a separate suit; the Representatives are</w:t>
      </w:r>
      <w:r>
        <w:t xml:space="preserve"> </w:t>
      </w:r>
      <w:r>
        <w:t xml:space="preserve">“</w:t>
      </w:r>
      <w:r>
        <w:t xml:space="preserve">at liberty to pursue oversight of DOJ via the tools available to Congress</w:t>
      </w:r>
      <w:r>
        <w:t xml:space="preserve">”</w:t>
      </w:r>
      <w:r>
        <w:t xml:space="preserve">; DOJ’s standing argument noted), https://www.nysd.uscourts.gov/sites/default/files/2026-01/Maxwell%2020cr330%20-%20Opinion%20%26%20Order%201.21.26.pdf. The December order concerns the covered Maxwell materials, not categorical repeal of grand-jury secrecy. 5 U.S.C. § 301; 18 U.S.C. § 3509.</w:t>
      </w:r>
    </w:p>
  </w:footnote>
  <w:footnote w:id="127">
    <w:p>
      <w:pPr>
        <w:pStyle w:val="FootnoteText"/>
      </w:pPr>
      <w:r>
        <w:rPr>
          <w:rStyle w:val="FootnoteReference"/>
        </w:rPr>
        <w:footnoteRef/>
      </w:r>
      <w:r>
        <w:t xml:space="preserve"> </w:t>
      </w:r>
      <w:r>
        <w:t xml:space="preserve">Department of Justice,</w:t>
      </w:r>
      <w:r>
        <w:t xml:space="preserve"> </w:t>
      </w:r>
      <w:r>
        <w:t xml:space="preserve">“</w:t>
      </w:r>
      <w:r>
        <w:t xml:space="preserve">Report Under Public Law 119-38,</w:t>
      </w:r>
      <w:r>
        <w:t xml:space="preserve">”</w:t>
      </w:r>
      <w:r>
        <w:t xml:space="preserve"> </w:t>
      </w:r>
      <w:r>
        <w:t xml:space="preserve">August 27, 2026, 91 FR 55356–55362, FR Doc. 2026-17533, signed August 21 by Associate Attorney General Stanley E. Woodward Jr. https://www.federalregister.gov/documents/2026/08/27/2026-17533/report-under-public-law-119-38. The appendix republishes the Section 3 Report’s categories, redaction summary and privileges, without itemized per-redaction entries or Bates numbers. The September 16 order, ECF 43, pp. 17–18, discharged publication show cause while reserving content adequacy; this paper does not state a final judicial holding against the notice.</w:t>
      </w:r>
    </w:p>
  </w:footnote>
  <w:footnote w:id="128">
    <w:p>
      <w:pPr>
        <w:pStyle w:val="FootnoteText"/>
      </w:pPr>
      <w:r>
        <w:rPr>
          <w:rStyle w:val="FootnoteReference"/>
        </w:rPr>
        <w:footnoteRef/>
      </w:r>
      <w:r>
        <w:t xml:space="preserve"> </w:t>
      </w:r>
      <w:r>
        <w:t xml:space="preserve">DOJ, Compliance Letter #1, December 19, 2025, pp. 3 (</w:t>
      </w:r>
      <w:r>
        <w:t xml:space="preserve">“</w:t>
      </w:r>
      <w:r>
        <w:t xml:space="preserve">A privilege log will be produced in due course as required under the Act</w:t>
      </w:r>
      <w:r>
        <w:t xml:space="preserve">”</w:t>
      </w:r>
      <w:r>
        <w:t xml:space="preserve">) and 4 (the Department</w:t>
      </w:r>
      <w:r>
        <w:t xml:space="preserve"> </w:t>
      </w:r>
      <w:r>
        <w:t xml:space="preserve">“</w:t>
      </w:r>
      <w:r>
        <w:t xml:space="preserve">will provide an explanation for any redacted and withheld materials as part of this production</w:t>
      </w:r>
      <w:r>
        <w:t xml:space="preserve">”</w:t>
      </w:r>
      <w:r>
        <w:t xml:space="preserve">). Pub. L. No. 119-38, § 3(2).</w:t>
      </w:r>
      <w:r>
        <w:t xml:space="preserve"> </w:t>
      </w:r>
      <w:r>
        <w:rPr>
          <w:iCs/>
          <w:i/>
        </w:rPr>
        <w:t xml:space="preserve">Phang v. Blanche</w:t>
      </w:r>
      <w:r>
        <w:t xml:space="preserve">, ECF 16, June 25, 2026, pp. 36 (the Attorney General</w:t>
      </w:r>
      <w:r>
        <w:t xml:space="preserve"> </w:t>
      </w:r>
      <w:r>
        <w:t xml:space="preserve">“</w:t>
      </w:r>
      <w:r>
        <w:t xml:space="preserve">does not respond substantively</w:t>
      </w:r>
      <w:r>
        <w:t xml:space="preserve">”</w:t>
      </w:r>
      <w:r>
        <w:t xml:space="preserve"> </w:t>
      </w:r>
      <w:r>
        <w:t xml:space="preserve">to the merits arguments, which are treated as conceded) and 46 (</w:t>
      </w:r>
      <w:r>
        <w:t xml:space="preserve">“</w:t>
      </w:r>
      <w:r>
        <w:t xml:space="preserve">The Act required the production of the covered documents and the redaction log by December 19, 2025</w:t>
      </w:r>
      <w:r>
        <w:t xml:space="preserve">”</w:t>
      </w:r>
      <w:r>
        <w:t xml:space="preserve">). The 1.8 million figure is the uncorrected apparent image-only join, 1,842,147 of 2,729,178 page-slots (Appendix A.3).</w:t>
      </w:r>
    </w:p>
  </w:footnote>
  <w:footnote w:id="131">
    <w:p>
      <w:pPr>
        <w:pStyle w:val="FootnoteText"/>
      </w:pPr>
      <w:r>
        <w:rPr>
          <w:rStyle w:val="FootnoteReference"/>
        </w:rPr>
        <w:footnoteRef/>
      </w:r>
      <w:r>
        <w:t xml:space="preserve"> </w:t>
      </w:r>
      <w:r>
        <w:t xml:space="preserve">Julie K. Brown,</w:t>
      </w:r>
      <w:r>
        <w:t xml:space="preserve"> </w:t>
      </w:r>
      <w:r>
        <w:t xml:space="preserve">“</w:t>
      </w:r>
      <w:r>
        <w:t xml:space="preserve">The architect of DOJ’s Epstein mess is fired,</w:t>
      </w:r>
      <w:r>
        <w:t xml:space="preserve">”</w:t>
      </w:r>
      <w:r>
        <w:t xml:space="preserve"> </w:t>
      </w:r>
      <w:r>
        <w:t xml:space="preserve">April 2, 2026, opening and subhead, https://jkbjournalist.substack.com/p/the-architect-of-dojs-epstein-mess; House Committee on Oversight and Government Reform Democrats,</w:t>
      </w:r>
      <w:r>
        <w:t xml:space="preserve"> </w:t>
      </w:r>
      <w:r>
        <w:t xml:space="preserve">“</w:t>
      </w:r>
      <w:r>
        <w:t xml:space="preserve">Ranking Member Robert Garcia Statement on Firing of Attorney General Pam Bondi,</w:t>
      </w:r>
      <w:r>
        <w:t xml:space="preserve">”</w:t>
      </w:r>
      <w:r>
        <w:t xml:space="preserve"> </w:t>
      </w:r>
      <w:r>
        <w:t xml:space="preserve">April 2, 2026, https://oversightdemocrats.house.gov/news/press-releases/ranking-member-robert-garcia-statement-on-firing-of-attorney-general-pam-bondi (firing and Epstein-files rationale).</w:t>
      </w:r>
    </w:p>
  </w:footnote>
  <w:footnote w:id="132">
    <w:p>
      <w:pPr>
        <w:pStyle w:val="FootnoteText"/>
      </w:pPr>
      <w:r>
        <w:rPr>
          <w:rStyle w:val="FootnoteReference"/>
        </w:rPr>
        <w:footnoteRef/>
      </w:r>
      <w:r>
        <w:t xml:space="preserve"> </w:t>
      </w:r>
      <w:r>
        <w:t xml:space="preserve">Jennifer Jacobs et al.,</w:t>
      </w:r>
      <w:r>
        <w:t xml:space="preserve"> </w:t>
      </w:r>
      <w:r>
        <w:t xml:space="preserve">“</w:t>
      </w:r>
      <w:r>
        <w:t xml:space="preserve">Trump fires Pam Bondi as attorney general, installs Todd Blanche as acting AG,</w:t>
      </w:r>
      <w:r>
        <w:t xml:space="preserve">”</w:t>
      </w:r>
      <w:r>
        <w:t xml:space="preserve"> </w:t>
      </w:r>
      <w:r>
        <w:t xml:space="preserve">CBS News, updated April 2, 2026, https://www.cbsnews.com/news/trump-pam-bondi-attorney-general/ (Blanche named acting Attorney General).</w:t>
      </w:r>
    </w:p>
  </w:footnote>
  <w:footnote w:id="133">
    <w:p>
      <w:pPr>
        <w:pStyle w:val="FootnoteText"/>
      </w:pPr>
      <w:r>
        <w:rPr>
          <w:rStyle w:val="FootnoteReference"/>
        </w:rPr>
        <w:footnoteRef/>
      </w:r>
      <w:r>
        <w:t xml:space="preserve"> </w:t>
      </w:r>
      <w:r>
        <w:t xml:space="preserve">Non-prosecution agreement between the United States Attorney’s Office for the Southern District of Florida and Jeffrey Epstein, signed September 24, 2007, p. 5 (the United States</w:t>
      </w:r>
      <w:r>
        <w:t xml:space="preserve"> </w:t>
      </w:r>
      <w:r>
        <w:t xml:space="preserve">“</w:t>
      </w:r>
      <w:r>
        <w:t xml:space="preserve">will not institute any criminal charges against any potential co-conspirators of Epstein, including but not limited to</w:t>
      </w:r>
      <w:r>
        <w:t xml:space="preserve">”</w:t>
      </w:r>
      <w:r>
        <w:t xml:space="preserve"> </w:t>
      </w:r>
      <w:r>
        <w:t xml:space="preserve">four named women). Office of Professional Responsibility, report of November 2020, Executive Summary, pp. i–iv: on June 30, 2008 Epstein pleaded guilty in state court to the pending indictment for felony solicitation of prostitution and, under the agreement, to an information charging procurement of minors to engage in prostitution; he</w:t>
      </w:r>
      <w:r>
        <w:t xml:space="preserve"> </w:t>
      </w:r>
      <w:r>
        <w:t xml:space="preserve">“</w:t>
      </w:r>
      <w:r>
        <w:t xml:space="preserve">actually served less than 13 months,</w:t>
      </w:r>
      <w:r>
        <w:t xml:space="preserve">”</w:t>
      </w:r>
      <w:r>
        <w:t xml:space="preserve"> </w:t>
      </w:r>
      <w:r>
        <w:t xml:space="preserve">with work release from October 2008; and on July 12, 2019 Acosta submitted his resignation.</w:t>
      </w:r>
      <w:r>
        <w:t xml:space="preserve"> </w:t>
      </w:r>
      <w:r>
        <w:rPr>
          <w:iCs/>
          <w:i/>
        </w:rPr>
        <w:t xml:space="preserve">Doe 1 v. United States</w:t>
      </w:r>
      <w:r>
        <w:t xml:space="preserve">, 359 F. Supp. 3d 1201 (S.D. Fla. 2019) (Crime Victims’ Rights Act);</w:t>
      </w:r>
      <w:r>
        <w:t xml:space="preserve"> </w:t>
      </w:r>
      <w:r>
        <w:rPr>
          <w:iCs/>
          <w:i/>
        </w:rPr>
        <w:t xml:space="preserve">United States v. Maxwell</w:t>
      </w:r>
      <w:r>
        <w:t xml:space="preserve">, 118 F.4th 256 (2d Cir. 2024) (</w:t>
      </w:r>
      <w:r>
        <w:t xml:space="preserve">“</w:t>
      </w:r>
      <w:r>
        <w:t xml:space="preserve">the NPA with USAO-SDFL does not bind USAO-SDNY</w:t>
      </w:r>
      <w:r>
        <w:t xml:space="preserve">”</w:t>
      </w:r>
      <w:r>
        <w:t xml:space="preserve">). The Senate confirmed Acosta as Secretary of Labor on April 27, 2017, 60–38 (Roll Call Vote 116, 115th Cong., 1st Sess.).</w:t>
      </w:r>
    </w:p>
  </w:footnote>
  <w:footnote w:id="134">
    <w:p>
      <w:pPr>
        <w:pStyle w:val="FootnoteText"/>
      </w:pPr>
      <w:r>
        <w:rPr>
          <w:rStyle w:val="FootnoteReference"/>
        </w:rPr>
        <w:footnoteRef/>
      </w:r>
      <w:r>
        <w:t xml:space="preserve"> </w:t>
      </w:r>
      <w:r>
        <w:t xml:space="preserve">In re Wild, 994 F.3d 1244 (11th Cir. 2021) (en banc), opinion introduction and concluding holding, https://media.ca11.uscourts.gov/opinions/pub/files/201913843.enb.pdf: no freestanding CVRA enforcement action before federal criminal proceedings commence. The contrary district-court finding must be read with this later en banc disposition.</w:t>
      </w:r>
    </w:p>
  </w:footnote>
  <w:footnote w:id="135">
    <w:p>
      <w:pPr>
        <w:pStyle w:val="FootnoteText"/>
      </w:pPr>
      <w:r>
        <w:rPr>
          <w:rStyle w:val="FootnoteReference"/>
        </w:rPr>
        <w:footnoteRef/>
      </w:r>
      <w:r>
        <w:t xml:space="preserve"> </w:t>
      </w:r>
      <w:r>
        <w:t xml:space="preserve">ABC News,</w:t>
      </w:r>
      <w:r>
        <w:t xml:space="preserve"> </w:t>
      </w:r>
      <w:r>
        <w:t xml:space="preserve">“</w:t>
      </w:r>
      <w:r>
        <w:t xml:space="preserve">Ghislaine Maxwell invokes 5th Amendment in closed-door House Oversight deposition,</w:t>
      </w:r>
      <w:r>
        <w:t xml:space="preserve">”</w:t>
      </w:r>
      <w:r>
        <w:t xml:space="preserve"> </w:t>
      </w:r>
      <w:r>
        <w:t xml:space="preserve">February 9, 2026, https://abcnews.com/Politics/maxwell-expected-invoke-amendment-closed-virtual-house-oversight/story?id=129991066 (a</w:t>
      </w:r>
      <w:r>
        <w:t xml:space="preserve"> </w:t>
      </w:r>
      <w:r>
        <w:t xml:space="preserve">“</w:t>
      </w:r>
      <w:r>
        <w:t xml:space="preserve">closed-door virtual deposition</w:t>
      </w:r>
      <w:r>
        <w:t xml:space="preserve">”</w:t>
      </w:r>
      <w:r>
        <w:t xml:space="preserve"> </w:t>
      </w:r>
      <w:r>
        <w:t xml:space="preserve">in which she</w:t>
      </w:r>
      <w:r>
        <w:t xml:space="preserve"> </w:t>
      </w:r>
      <w:r>
        <w:t xml:space="preserve">“</w:t>
      </w:r>
      <w:r>
        <w:t xml:space="preserve">repeatedly invoked</w:t>
      </w:r>
      <w:r>
        <w:t xml:space="preserve">”</w:t>
      </w:r>
      <w:r>
        <w:t xml:space="preserve"> </w:t>
      </w:r>
      <w:r>
        <w:t xml:space="preserve">the privilege). DOJ, Compliance Letter #1, December 19, 2025, p. 5 (release on August 22, 2025 of the transcript and audio of</w:t>
      </w:r>
      <w:r>
        <w:t xml:space="preserve"> </w:t>
      </w:r>
      <w:r>
        <w:t xml:space="preserve">“</w:t>
      </w:r>
      <w:r>
        <w:t xml:space="preserve">the Deputy Attorney General’s interview of Ghislaine Maxwell</w:t>
      </w:r>
      <w:r>
        <w:t xml:space="preserve">”</w:t>
      </w:r>
      <w:r>
        <w:t xml:space="preserve">). Rep. Robert Garcia to Bureau of Prisons Director Marshall, August 1, 2025, https://oversightdemocrats.house.gov/imo/media/doc/2025-08-01-rg-to-bop-director-marshall-re-maxwell.pdf, p. 1 (transfer from Tallahassee to Federal Prison Camp Bryan,</w:t>
      </w:r>
      <w:r>
        <w:t xml:space="preserve"> </w:t>
      </w:r>
      <w:r>
        <w:t xml:space="preserve">“</w:t>
      </w:r>
      <w:r>
        <w:t xml:space="preserve">a facility with far fewer restrictions and security measures</w:t>
      </w:r>
      <w:r>
        <w:t xml:space="preserve">”</w:t>
      </w:r>
      <w:r>
        <w:t xml:space="preserve">); Garcia to Warden Tanisha Hall, October 30, 2025, https://oversightdemocrats.house.gov/imo/media/doc/2025-10-30.garcia-to-fpc-bryan-warden-re-maxwell.pdf, p. 1 (such transfers for sex offenders</w:t>
      </w:r>
      <w:r>
        <w:t xml:space="preserve"> </w:t>
      </w:r>
      <w:r>
        <w:t xml:space="preserve">“</w:t>
      </w:r>
      <w:r>
        <w:t xml:space="preserve">are at odds with BOP policy</w:t>
      </w:r>
      <w:r>
        <w:t xml:space="preserve">”</w:t>
      </w:r>
      <w:r>
        <w:t xml:space="preserve">). Rep. Ro Khanna to Chairman James Comer, February 8, 2026, https://khanna.house.gov/sites/evo-subsites/khanna.house.gov/files/evo-media-document/rep-khanna-letter-to-chair-comer-re-maxwell-deposition-88.pdf, p. 1 (a blanket invocation</w:t>
      </w:r>
      <w:r>
        <w:t xml:space="preserve"> </w:t>
      </w:r>
      <w:r>
        <w:t xml:space="preserve">“</w:t>
      </w:r>
      <w:r>
        <w:t xml:space="preserve">appears inconsistent</w:t>
      </w:r>
      <w:r>
        <w:t xml:space="preserve">”</w:t>
      </w:r>
      <w:r>
        <w:t xml:space="preserve"> </w:t>
      </w:r>
      <w:r>
        <w:t xml:space="preserve">with her not invoking the privilege when she met the Deputy Attorney General</w:t>
      </w:r>
      <w:r>
        <w:t xml:space="preserve"> </w:t>
      </w:r>
      <w:r>
        <w:t xml:space="preserve">“</w:t>
      </w:r>
      <w:r>
        <w:t xml:space="preserve">to discuss substantially similar subject matter</w:t>
      </w:r>
      <w:r>
        <w:t xml:space="preserve">”</w:t>
      </w:r>
      <w:r>
        <w:t xml:space="preserve">). Rep. Jamie Raskin to President Trump, November 9, 2025, https://democrats-judiciary.house.gov/sites/evo-subsites/democrats-judiciary.house.gov/files/evo-media-document/2025-11-09-raskin-to-trump-wh-re-maxwell.pdf (whistleblower information about her treatment at Federal Prison Camp Bryan and a</w:t>
      </w:r>
      <w:r>
        <w:t xml:space="preserve"> </w:t>
      </w:r>
      <w:r>
        <w:t xml:space="preserve">“</w:t>
      </w:r>
      <w:r>
        <w:t xml:space="preserve">Commutation Application</w:t>
      </w:r>
      <w:r>
        <w:t xml:space="preserve">”</w:t>
      </w:r>
      <w:r>
        <w:t xml:space="preserve">). Twelve senators to the DOJ Office of the Inspector General, December 24, 2025, https://www.blumenthal.senate.gov/imo/media/doc/20251224lettertodojoigonepsteinreleasefinal.pdf, p. 1 (requesting</w:t>
      </w:r>
      <w:r>
        <w:t xml:space="preserve"> </w:t>
      </w:r>
      <w:r>
        <w:t xml:space="preserve">“</w:t>
      </w:r>
      <w:r>
        <w:t xml:space="preserve">an audit of the Department’s compliance with the statute</w:t>
      </w:r>
      <w:r>
        <w:t xml:space="preserve">”</w:t>
      </w:r>
      <w:r>
        <w:t xml:space="preserve">). The letters record allegations, not findings, and waiver of the privilege is generally assessed proceeding by proceeding, so the contrast is not itself evidence of waiver.</w:t>
      </w:r>
    </w:p>
  </w:footnote>
  <w:footnote w:id="138">
    <w:p>
      <w:pPr>
        <w:pStyle w:val="FootnoteText"/>
      </w:pPr>
      <w:r>
        <w:rPr>
          <w:rStyle w:val="FootnoteReference"/>
        </w:rPr>
        <w:footnoteRef/>
      </w:r>
      <w:r>
        <w:t xml:space="preserve"> </w:t>
      </w:r>
      <w:r>
        <w:t xml:space="preserve">The grand-jury-unsealing gesture. On July 18, 2025 the Government moved to unseal the grand jury transcripts in both</w:t>
      </w:r>
      <w:r>
        <w:t xml:space="preserve"> </w:t>
      </w:r>
      <w:r>
        <w:rPr>
          <w:iCs/>
          <w:i/>
        </w:rPr>
        <w:t xml:space="preserve">United States v. Epstein</w:t>
      </w:r>
      <w:r>
        <w:t xml:space="preserve"> </w:t>
      </w:r>
      <w:r>
        <w:t xml:space="preserve">(S.D.N.Y. 19 Cr. 490, Dkt. 61) and</w:t>
      </w:r>
      <w:r>
        <w:t xml:space="preserve"> </w:t>
      </w:r>
      <w:r>
        <w:rPr>
          <w:iCs/>
          <w:i/>
        </w:rPr>
        <w:t xml:space="preserve">United States v. Maxwell</w:t>
      </w:r>
      <w:r>
        <w:t xml:space="preserve"> </w:t>
      </w:r>
      <w:r>
        <w:t xml:space="preserve">(S.D.N.Y. 20 Cr. 330, Dkt. 785), the motion bearing the signature block of Attorney General Pamela Bondi and Deputy Attorney General Todd Blanche (signed /s/ by Blanche); U.S. Attorney Jay Clayton signed the Government’s July 29 supplemental memorandum (Maxwell Dkt. 796) (the Main-Justice leadership appearing personally on a district-court filing is itself notable). Judge Engelmayer denied the Maxwell motion on August 11, 2025, holding that the Second Circuit’s narrow</w:t>
      </w:r>
      <w:r>
        <w:t xml:space="preserve"> </w:t>
      </w:r>
      <w:r>
        <w:rPr>
          <w:iCs/>
          <w:i/>
        </w:rPr>
        <w:t xml:space="preserve">In re Craig</w:t>
      </w:r>
      <w:r>
        <w:t xml:space="preserve"> </w:t>
      </w:r>
      <w:r>
        <w:t xml:space="preserve">“</w:t>
      </w:r>
      <w:r>
        <w:t xml:space="preserve">special circumstances</w:t>
      </w:r>
      <w:r>
        <w:t xml:space="preserve">”</w:t>
      </w:r>
      <w:r>
        <w:t xml:space="preserve"> </w:t>
      </w:r>
      <w:r>
        <w:t xml:space="preserve">exception to grand-jury secrecy did not reach summary-witness testimony largely duplicative of the trial record, and that granting it</w:t>
      </w:r>
      <w:r>
        <w:t xml:space="preserve"> </w:t>
      </w:r>
      <w:r>
        <w:t xml:space="preserve">“</w:t>
      </w:r>
      <w:r>
        <w:t xml:space="preserve">would bloat the</w:t>
      </w:r>
      <w:r>
        <w:t xml:space="preserve"> </w:t>
      </w:r>
      <w:r>
        <w:t xml:space="preserve">‘</w:t>
      </w:r>
      <w:r>
        <w:t xml:space="preserve">special circumstances</w:t>
      </w:r>
      <w:r>
        <w:t xml:space="preserve">’</w:t>
      </w:r>
      <w:r>
        <w:t xml:space="preserve"> </w:t>
      </w:r>
      <w:r>
        <w:t xml:space="preserve">doctrine</w:t>
      </w:r>
      <w:r>
        <w:t xml:space="preserve">”</w:t>
      </w:r>
      <w:r>
        <w:t xml:space="preserve"> </w:t>
      </w:r>
      <w:r>
        <w:t xml:space="preserve">(</w:t>
      </w:r>
      <w:r>
        <w:rPr>
          <w:iCs/>
          <w:i/>
        </w:rPr>
        <w:t xml:space="preserve">United States v. Maxwell</w:t>
      </w:r>
      <w:r>
        <w:t xml:space="preserve">, 794 F. Supp. 3d 215, 225–29 (S.D.N.Y. 2025), as the January 21, 2026 order in that case summarizes it at p. 5; the copy cited bears Bates DOJ-OGR-00015133–163, the prefix of DOJ’s August 22, 2025 production to the House Oversight Committee). The parallel Southern District of Florida motion had already been denied on July 23, 2025 on the ground that no Federal Rule of Criminal Procedure 6(e) exception applied and that the Eleventh Circuit does not recognize the special-circumstances doctrine (</w:t>
      </w:r>
      <w:r>
        <w:rPr>
          <w:iCs/>
          <w:i/>
        </w:rPr>
        <w:t xml:space="preserve">In re Grand Jury 05-02 (WPB) &amp; 07-103 (WPB)</w:t>
      </w:r>
      <w:r>
        <w:t xml:space="preserve">, No. 9:25-mc-80920-RLR, Dkt. 4 (S.D. Fla. July 23, 2025)). The proposed unsealing also kept covered material covered: the Government’s July 29 supplemental brief proposed redacting uncharged third parties (Maxwell Dkt. 796 at 7), which victims’ counsel attacked as a proposal that</w:t>
      </w:r>
      <w:r>
        <w:t xml:space="preserve"> </w:t>
      </w:r>
      <w:r>
        <w:t xml:space="preserve">“</w:t>
      </w:r>
      <w:r>
        <w:t xml:space="preserve">smacks of a cover up</w:t>
      </w:r>
      <w:r>
        <w:t xml:space="preserve">”</w:t>
      </w:r>
      <w:r>
        <w:t xml:space="preserve"> </w:t>
      </w:r>
      <w:r>
        <w:t xml:space="preserve">(McCawley/Farmer letter, Aug. 5, 2025, Bates DOJ-OGR-00015103–107), while separately-counseled third parties whom the Department had told on August 1 that they were</w:t>
      </w:r>
      <w:r>
        <w:t xml:space="preserve"> </w:t>
      </w:r>
      <w:r>
        <w:t xml:space="preserve">“</w:t>
      </w:r>
      <w:r>
        <w:t xml:space="preserve">referenced in some capacity</w:t>
      </w:r>
      <w:r>
        <w:t xml:space="preserve">”</w:t>
      </w:r>
      <w:r>
        <w:t xml:space="preserve"> </w:t>
      </w:r>
      <w:r>
        <w:t xml:space="preserve">in the materials, but declined to tell in what context, moved to keep the transcripts sealed entirely (Binder &amp; Schwartz letter, Aug. 5, 2025, Bates DOJ-OGR-00015118–122). Later reporting indicates the futility was anticipated: per Maggie Haberman and Jonathan Swan,</w:t>
      </w:r>
      <w:r>
        <w:t xml:space="preserve"> </w:t>
      </w:r>
      <w:r>
        <w:t xml:space="preserve">“</w:t>
      </w:r>
      <w:r>
        <w:t xml:space="preserve">Inside the White House Freakout Over the Epstein Files,</w:t>
      </w:r>
      <w:r>
        <w:t xml:space="preserve">”</w:t>
      </w:r>
      <w:r>
        <w:t xml:space="preserve"> </w:t>
      </w:r>
      <w:r>
        <w:rPr>
          <w:iCs/>
          <w:i/>
        </w:rPr>
        <w:t xml:space="preserve">New York Times Magazine</w:t>
      </w:r>
      <w:r>
        <w:t xml:space="preserve">, June 10, 2026, at a July 17, 2025 White House meeting the Deputy Attorney General laid out the unsealing petition as an option and predicted the courts would refuse, which would shift blame for withholding onto the judges while making the administration appear to favor release. That last point is reported intent, not part of the court record, and is treated here only as consistent with the litigated outcome the record establishes.</w:t>
      </w:r>
    </w:p>
  </w:footnote>
  <w:footnote w:id="141">
    <w:p>
      <w:pPr>
        <w:pStyle w:val="FootnoteText"/>
      </w:pPr>
      <w:r>
        <w:rPr>
          <w:rStyle w:val="FootnoteReference"/>
        </w:rPr>
        <w:footnoteRef/>
      </w:r>
      <w:r>
        <w:t xml:space="preserve"> </w:t>
      </w:r>
      <w:r>
        <w:t xml:space="preserve">House Committee on Oversight and Government Reform, markup of January 21, 2026. Amendment offered by Rep. Lee to the amendment in the nature of a substitute to the committee report recommending that the House find former President William J. Clinton in contempt, https://docs.house.gov/meetings/GO/GO00/20260121/118877/BILLS-119-WJCContemptReport-L000602-Amdt-3.pdf: it would have struck the report and substituted a resolution that the Committee</w:t>
      </w:r>
      <w:r>
        <w:t xml:space="preserve"> </w:t>
      </w:r>
      <w:r>
        <w:t xml:space="preserve">“</w:t>
      </w:r>
      <w:r>
        <w:t xml:space="preserve">shall initiate judicial proceedings in any Federal court of competent jurisdiction</w:t>
      </w:r>
      <w:r>
        <w:t xml:space="preserve">”</w:t>
      </w:r>
      <w:r>
        <w:t xml:space="preserve"> </w:t>
      </w:r>
      <w:r>
        <w:t xml:space="preserve">to seek declaratory judgments affirming the Attorney General’s duty to comply with the August 5, 2025 subpoena, with the House Office of General Counsel representing the Committee</w:t>
      </w:r>
      <w:r>
        <w:t xml:space="preserve"> </w:t>
      </w:r>
      <w:r>
        <w:t xml:space="preserve">“</w:t>
      </w:r>
      <w:r>
        <w:t xml:space="preserve">at the authorization of the Speaker,</w:t>
      </w:r>
      <w:r>
        <w:t xml:space="preserve">”</w:t>
      </w:r>
      <w:r>
        <w:t xml:space="preserve"> </w:t>
      </w:r>
      <w:r>
        <w:t xml:space="preserve">who</w:t>
      </w:r>
      <w:r>
        <w:t xml:space="preserve"> </w:t>
      </w:r>
      <w:r>
        <w:t xml:space="preserve">“</w:t>
      </w:r>
      <w:r>
        <w:t xml:space="preserve">shall consult with the Bipartisan Legal Advisory Group.</w:t>
      </w:r>
      <w:r>
        <w:t xml:space="preserve">”</w:t>
      </w:r>
      <w:r>
        <w:t xml:space="preserve"> </w:t>
      </w:r>
      <w:r>
        <w:t xml:space="preserve">H. Rept. 119-468, Roll Call Votes, https://www.govinfo.gov/content/pkg/CRPT-119hrpt468/html/CRPT-119hrpt468-pt1.htm: the Lee amendment failed 19–24 (Rollcall No. 1); an amendment by Rep. Min to authorize a declaratory-judgment suit against Clinton instead failed 19–25 (Rollcall No. 2); the report was ordered reported 34–8, with 2 voting present (Rollcall No. 3). The committee’s roll-call sheet for the Lee amendment (PDF p. 22 of https://www.govinfo.gov/content/pkg/CRPT-119hrpt468/pdf/CRPT-119hrpt468-pt1.pdf) records every aye as a Democrat and every no as a Republican. Meeting transcript, https://docs.house.gov/meetings/GO/GO00/20260121/118877/HMKP-119-GO00-Transcript-20260121.pdf, printed pp. 48–49 (Lee describes the amendment as holding the Attorney General</w:t>
      </w:r>
      <w:r>
        <w:t xml:space="preserve"> </w:t>
      </w:r>
      <w:r>
        <w:t xml:space="preserve">“</w:t>
      </w:r>
      <w:r>
        <w:t xml:space="preserve">in civil contempt</w:t>
      </w:r>
      <w:r>
        <w:t xml:space="preserve">”</w:t>
      </w:r>
      <w:r>
        <w:t xml:space="preserve">) and 70 (vote announced, 19 to 24). These establish the proposal and outcome, not the truth of the underlying noncompliance allegation.</w:t>
      </w:r>
    </w:p>
  </w:footnote>
  <w:footnote w:id="142">
    <w:p>
      <w:pPr>
        <w:pStyle w:val="FootnoteText"/>
      </w:pPr>
      <w:r>
        <w:rPr>
          <w:rStyle w:val="FootnoteReference"/>
        </w:rPr>
        <w:footnoteRef/>
      </w:r>
      <w:r>
        <w:t xml:space="preserve"> </w:t>
      </w:r>
      <w:r>
        <w:t xml:space="preserve">Stephen Fowler,</w:t>
      </w:r>
      <w:r>
        <w:t xml:space="preserve"> </w:t>
      </w:r>
      <w:r>
        <w:t xml:space="preserve">“</w:t>
      </w:r>
      <w:r>
        <w:t xml:space="preserve">DOJ removed, withheld Epstein files related to accusations about Trump,</w:t>
      </w:r>
      <w:r>
        <w:t xml:space="preserve">”</w:t>
      </w:r>
      <w:r>
        <w:t xml:space="preserve"> </w:t>
      </w:r>
      <w:r>
        <w:t xml:space="preserve">NPR, February 24, 2026, https://www.npr.org/2026/02/24/nx-s1-5723968/epstein-files-trump-accusation-maxwell (by NPR’s review of serial numbers,</w:t>
      </w:r>
      <w:r>
        <w:t xml:space="preserve"> </w:t>
      </w:r>
      <w:r>
        <w:t xml:space="preserve">“</w:t>
      </w:r>
      <w:r>
        <w:t xml:space="preserve">53 pages of interview documents and notes missing from the public Epstein database</w:t>
      </w:r>
      <w:r>
        <w:t xml:space="preserve">”</w:t>
      </w:r>
      <w:r>
        <w:t xml:space="preserve">; the Department’s position that unpublished documents</w:t>
      </w:r>
      <w:r>
        <w:t xml:space="preserve"> </w:t>
      </w:r>
      <w:r>
        <w:t xml:space="preserve">“</w:t>
      </w:r>
      <w:r>
        <w:t xml:space="preserve">are privileged, are duplicates or relate to an ongoing federal investigation</w:t>
      </w:r>
      <w:r>
        <w:t xml:space="preserve">”</w:t>
      </w:r>
      <w:r>
        <w:t xml:space="preserve">; and Ranking Member Garcia’s statement that</w:t>
      </w:r>
      <w:r>
        <w:t xml:space="preserve"> </w:t>
      </w:r>
      <w:r>
        <w:t xml:space="preserve">“</w:t>
      </w:r>
      <w:r>
        <w:t xml:space="preserve">the DOJ appears to have illegally withheld FBI interviews with this survivor</w:t>
      </w:r>
      <w:r>
        <w:t xml:space="preserve">”</w:t>
      </w:r>
      <w:r>
        <w:t xml:space="preserve">). For the March 2026 releases, see NPR,</w:t>
      </w:r>
      <w:r>
        <w:t xml:space="preserve"> </w:t>
      </w:r>
      <w:r>
        <w:t xml:space="preserve">“</w:t>
      </w:r>
      <w:r>
        <w:t xml:space="preserve">Justice Department posts more Epstein files related to accusations about Trump,</w:t>
      </w:r>
      <w:r>
        <w:t xml:space="preserve">”</w:t>
      </w:r>
      <w:r>
        <w:t xml:space="preserve"> </w:t>
      </w:r>
      <w:r>
        <w:t xml:space="preserve">March 5, 2026, and James Hill and Peter Charalambous,</w:t>
      </w:r>
      <w:r>
        <w:t xml:space="preserve"> </w:t>
      </w:r>
      <w:r>
        <w:t xml:space="preserve">“</w:t>
      </w:r>
      <w:r>
        <w:t xml:space="preserve">Epstein files: DOJ releases previously withheld FBI reports about sex abuse allegation against Trump,</w:t>
      </w:r>
      <w:r>
        <w:t xml:space="preserve">”</w:t>
      </w:r>
      <w:r>
        <w:t xml:space="preserve"> </w:t>
      </w:r>
      <w:r>
        <w:t xml:space="preserve">ABC News, March 6, 2026. The point is the compliance posture, not the truth of the underlying allegations: the release followed external pressure and was not compelled by contempt, an appropriations rider, or a court order.</w:t>
      </w:r>
    </w:p>
  </w:footnote>
  <w:footnote w:id="143">
    <w:p>
      <w:pPr>
        <w:pStyle w:val="FootnoteText"/>
      </w:pPr>
      <w:r>
        <w:rPr>
          <w:rStyle w:val="FootnoteReference"/>
        </w:rPr>
        <w:footnoteRef/>
      </w:r>
      <w:r>
        <w:t xml:space="preserve"> </w:t>
      </w:r>
      <w:r>
        <w:t xml:space="preserve">For the March 2026 additional interview-summary release, see NPR,</w:t>
      </w:r>
      <w:r>
        <w:t xml:space="preserve"> </w:t>
      </w:r>
      <w:r>
        <w:t xml:space="preserve">“</w:t>
      </w:r>
      <w:r>
        <w:t xml:space="preserve">Justice Department posts more Epstein files related to accusations about Trump</w:t>
      </w:r>
      <w:r>
        <w:t xml:space="preserve">”</w:t>
      </w:r>
      <w:r>
        <w:t xml:space="preserve"> </w:t>
      </w:r>
      <w:r>
        <w:t xml:space="preserve">(npr.org, March 5, 2026), and James Hill and Peter Charalambous,</w:t>
      </w:r>
      <w:r>
        <w:t xml:space="preserve"> </w:t>
      </w:r>
      <w:r>
        <w:t xml:space="preserve">“</w:t>
      </w:r>
      <w:r>
        <w:t xml:space="preserve">Epstein files: DOJ releases previously withheld FBI reports about sex abuse allegation against Trump</w:t>
      </w:r>
      <w:r>
        <w:t xml:space="preserve">”</w:t>
      </w:r>
      <w:r>
        <w:t xml:space="preserve"> </w:t>
      </w:r>
      <w:r>
        <w:t xml:space="preserve">(ABC News, March 6, 2026). The related notes dispute is addressed in</w:t>
      </w:r>
      <w:r>
        <w:t xml:space="preserve"> </w:t>
      </w:r>
      <w:r>
        <w:rPr>
          <w:iCs/>
          <w:i/>
        </w:rPr>
        <w:t xml:space="preserve">Phang</w:t>
      </w:r>
      <w:r>
        <w:t xml:space="preserve">, ECF 16, pp. 35–36, and ECF 43, pp. 12–13, with the latter ordering further in-camera submissions; those orders are not the source for the March release. Wyden’s February 25 and March 18, 2026 correspondence concerning the DEA memorandum (EFTA00173953) records a demand and an allegation of interference; DOJ disputed that account. A disputed allegation is not an adjudicated obstruction finding. The separate Treasury example is dated February 14, 2024: Senate Finance minority staff, Looking the Other Way, August 4, 2026, PDF pp. 5–6. The report also describes later EFTA disclosure of SARs and bank records. Controlled access in 2024 therefore does not establish permanent public unavailability or prove the same later outcome in a different agency.</w:t>
      </w:r>
    </w:p>
  </w:footnote>
  <w:footnote w:id="145">
    <w:p>
      <w:pPr>
        <w:pStyle w:val="FootnoteText"/>
      </w:pPr>
      <w:r>
        <w:rPr>
          <w:rStyle w:val="FootnoteReference"/>
        </w:rPr>
        <w:footnoteRef/>
      </w:r>
      <w:r>
        <w:t xml:space="preserve"> </w:t>
      </w:r>
      <w:r>
        <w:t xml:space="preserve">Selected dated appearances, not a complete roster or uniform-denial dataset: Maxwell, February 9, 2026 (Fifth Amendment invocation); Bondi, May 29 (unsworn transcribed interview); Gates, June 10 (transcribed interview). House Committee on Oversight and Government Reform, Bill Gates interview transcript, title page and introductory procedure, https://oversight.house.gov/wp-content/uploads/2026/06/Bill-Gates-Transcript.pdf; Committee release, https://oversight.house.gov/release/oversight-committee-releases-gates-and-groff-transcripts/. The former thirteen-subpoena/eight-appearance aggregation and description of Gates as still scheduled are withdrawn.</w:t>
      </w:r>
    </w:p>
  </w:footnote>
  <w:footnote w:id="147">
    <w:p>
      <w:pPr>
        <w:pStyle w:val="FootnoteText"/>
      </w:pPr>
      <w:r>
        <w:rPr>
          <w:rStyle w:val="FootnoteReference"/>
        </w:rPr>
        <w:footnoteRef/>
      </w:r>
      <w:r>
        <w:t xml:space="preserve"> </w:t>
      </w:r>
      <w:r>
        <w:rPr>
          <w:iCs/>
          <w:i/>
        </w:rPr>
        <w:t xml:space="preserve">Phang v. Blanche</w:t>
      </w:r>
      <w:r>
        <w:t xml:space="preserve">, No. 1:26-cv-01417 (D.D.C. filed Apr. 27, 2026), complaint p. 1 and docket caption, https://www.courtlistener.com/docket/73246595/phang-v-blanche/; U.S. Department of Justice Office of the Inspector General,</w:t>
      </w:r>
      <w:r>
        <w:t xml:space="preserve"> </w:t>
      </w:r>
      <w:r>
        <w:t xml:space="preserve">“</w:t>
      </w:r>
      <w:r>
        <w:t xml:space="preserve">Audit of the Department of Justice’s Compliance with the Epstein Files Transparency Act,</w:t>
      </w:r>
      <w:r>
        <w:t xml:space="preserve">”</w:t>
      </w:r>
      <w:r>
        <w:t xml:space="preserve"> </w:t>
      </w:r>
      <w:r>
        <w:t xml:space="preserve">ongoing-work entry and preliminary objective, https://oig.justice.gov/ongoing-work; Lisa Hornung,</w:t>
      </w:r>
      <w:r>
        <w:t xml:space="preserve"> </w:t>
      </w:r>
      <w:r>
        <w:t xml:space="preserve">“</w:t>
      </w:r>
      <w:r>
        <w:t xml:space="preserve">DOJ Inspector General to audit release of Epstein files,</w:t>
      </w:r>
      <w:r>
        <w:t xml:space="preserve">”</w:t>
      </w:r>
      <w:r>
        <w:t xml:space="preserve"> </w:t>
      </w:r>
      <w:r>
        <w:t xml:space="preserve">UPI, April 23, 2026, https://www.upi.com/Top_News/US/2026/04/23/justice-department-inspector-general-audit-epstein-files-release/7901776973145/ (announcement date). The Attorney General may prohibit an inspector-general audit concerning specified sensitive information, 5 U.S.C. § 413(a).</w:t>
      </w:r>
    </w:p>
  </w:footnote>
  <w:footnote w:id="149">
    <w:p>
      <w:pPr>
        <w:pStyle w:val="FootnoteText"/>
      </w:pPr>
      <w:r>
        <w:rPr>
          <w:rStyle w:val="FootnoteReference"/>
        </w:rPr>
        <w:footnoteRef/>
      </w:r>
      <w:r>
        <w:t xml:space="preserve"> </w:t>
      </w:r>
      <w:r>
        <w:t xml:space="preserve">172</w:t>
      </w:r>
      <w:r>
        <w:t xml:space="preserve"> </w:t>
      </w:r>
      <w:r>
        <w:rPr>
          <w:iCs/>
          <w:i/>
        </w:rPr>
        <w:t xml:space="preserve">Cong. Rec.</w:t>
      </w:r>
      <w:r>
        <w:t xml:space="preserve"> </w:t>
      </w:r>
      <w:r>
        <w:t xml:space="preserve">H2266–H2267 (daily ed. February 24, 2026), https://www.govinfo.gov/content/pkg/CREC-2026-02-24/html/CREC-2026-02-24-pt1-PgH2266.htm (Rep. Massie:</w:t>
      </w:r>
      <w:r>
        <w:t xml:space="preserve"> </w:t>
      </w:r>
      <w:r>
        <w:t xml:space="preserve">“</w:t>
      </w:r>
      <w:r>
        <w:t xml:space="preserve">I will name them right here,</w:t>
      </w:r>
      <w:r>
        <w:t xml:space="preserve">”</w:t>
      </w:r>
      <w:r>
        <w:t xml:space="preserve"> </w:t>
      </w:r>
      <w:r>
        <w:t xml:space="preserve">naming Leon Black, Jes Staley, and Leslie Wexner and asking why they were not being investigated). U.S. Const. art. I, § 6, cl. 1;</w:t>
      </w:r>
      <w:r>
        <w:t xml:space="preserve"> </w:t>
      </w:r>
      <w:r>
        <w:rPr>
          <w:iCs/>
          <w:i/>
        </w:rPr>
        <w:t xml:space="preserve">Gravel v. United States</w:t>
      </w:r>
      <w:r>
        <w:t xml:space="preserve">, 408 U.S. 606, 625 (1972) (private republication</w:t>
      </w:r>
      <w:r>
        <w:t xml:space="preserve"> </w:t>
      </w:r>
      <w:r>
        <w:t xml:space="preserve">“</w:t>
      </w:r>
      <w:r>
        <w:t xml:space="preserve">was in no way essential to the deliberations of the Senate</w:t>
      </w:r>
      <w:r>
        <w:t xml:space="preserve">”</w:t>
      </w:r>
      <w:r>
        <w:t xml:space="preserve">);</w:t>
      </w:r>
      <w:r>
        <w:t xml:space="preserve"> </w:t>
      </w:r>
      <w:r>
        <w:rPr>
          <w:iCs/>
          <w:i/>
        </w:rPr>
        <w:t xml:space="preserve">Hutchinson v. Proxmire</w:t>
      </w:r>
      <w:r>
        <w:t xml:space="preserve">, 443 U.S. 111 (1979) (no immunity for republication of a speech first delivered in Congress). A member’s naming is an allegation, not a legal disposition.</w:t>
      </w:r>
    </w:p>
  </w:footnote>
  <w:footnote w:id="150">
    <w:p>
      <w:pPr>
        <w:pStyle w:val="FootnoteText"/>
      </w:pPr>
      <w:r>
        <w:rPr>
          <w:rStyle w:val="FootnoteReference"/>
        </w:rPr>
        <w:footnoteRef/>
      </w:r>
      <w:r>
        <w:t xml:space="preserve"> </w:t>
      </w:r>
      <w:r>
        <w:t xml:space="preserve">DOJ, Compliance Letter #2, January 30, 2026, p. 4 (arrangements</w:t>
      </w:r>
      <w:r>
        <w:t xml:space="preserve"> </w:t>
      </w:r>
      <w:r>
        <w:t xml:space="preserve">“</w:t>
      </w:r>
      <w:r>
        <w:t xml:space="preserve">made through the leadership of the House and Senate Committees on the Judiciary</w:t>
      </w:r>
      <w:r>
        <w:t xml:space="preserve">”</w:t>
      </w:r>
      <w:r>
        <w:t xml:space="preserve"> </w:t>
      </w:r>
      <w:r>
        <w:t xml:space="preserve">and</w:t>
      </w:r>
      <w:r>
        <w:t xml:space="preserve"> </w:t>
      </w:r>
      <w:r>
        <w:t xml:space="preserve">“</w:t>
      </w:r>
      <w:r>
        <w:t xml:space="preserve">subject to customary and appropriate confidentiality undertakings</w:t>
      </w:r>
      <w:r>
        <w:t xml:space="preserve">”</w:t>
      </w:r>
      <w:r>
        <w:t xml:space="preserve">); Section 3 Report, p. 3 (</w:t>
      </w:r>
      <w:r>
        <w:t xml:space="preserve">“</w:t>
      </w:r>
      <w:r>
        <w:t xml:space="preserve">certain members of Congress have come to the Department to inspect unredacted materials</w:t>
      </w:r>
      <w:r>
        <w:t xml:space="preserve">”</w:t>
      </w:r>
      <w:r>
        <w:t xml:space="preserve">);</w:t>
      </w:r>
      <w:r>
        <w:t xml:space="preserve"> </w:t>
      </w:r>
      <w:r>
        <w:rPr>
          <w:iCs/>
          <w:i/>
        </w:rPr>
        <w:t xml:space="preserve">Phang v. Blanche</w:t>
      </w:r>
      <w:r>
        <w:t xml:space="preserve">, ECF 43, September 16, 2026, pp. 5 (the Department’s position that the court</w:t>
      </w:r>
      <w:r>
        <w:t xml:space="preserve"> </w:t>
      </w:r>
      <w:r>
        <w:t xml:space="preserve">“</w:t>
      </w:r>
      <w:r>
        <w:t xml:space="preserve">should not supplant Congress’s acceptance of [its] explanation</w:t>
      </w:r>
      <w:r>
        <w:t xml:space="preserve">”</w:t>
      </w:r>
      <w:r>
        <w:t xml:space="preserve">) and 16 (no authority</w:t>
      </w:r>
      <w:r>
        <w:t xml:space="preserve"> </w:t>
      </w:r>
      <w:r>
        <w:t xml:space="preserve">“</w:t>
      </w:r>
      <w:r>
        <w:t xml:space="preserve">that Congressional silence in response to the January 30, 2026 letter functions as an implied amendment to the EFTA</w:t>
      </w:r>
      <w:r>
        <w:t xml:space="preserve">”</w:t>
      </w:r>
      <w:r>
        <w:t xml:space="preserve">).</w:t>
      </w:r>
    </w:p>
  </w:footnote>
  <w:footnote w:id="153">
    <w:p>
      <w:pPr>
        <w:pStyle w:val="FootnoteText"/>
      </w:pPr>
      <w:r>
        <w:rPr>
          <w:rStyle w:val="FootnoteReference"/>
        </w:rPr>
        <w:footnoteRef/>
      </w:r>
      <w:r>
        <w:t xml:space="preserve"> </w:t>
      </w:r>
      <w:r>
        <w:t xml:space="preserve">The six-row source-to-inference audit is printed in</w:t>
      </w:r>
      <w:r>
        <w:t xml:space="preserve"> </w:t>
      </w:r>
      <w:r>
        <w:t xml:space="preserve">“</w:t>
      </w:r>
      <w:r>
        <w:t xml:space="preserve">The cumulative reading</w:t>
      </w:r>
      <w:r>
        <w:t xml:space="preserve">”</w:t>
      </w:r>
      <w:r>
        <w:t xml:space="preserve"> </w:t>
      </w:r>
      <w:r>
        <w:t xml:space="preserve">in this paper. Its exact observations, rivals, and missing links replace the earlier unpublished diagnostic table; no inaccessible supplementary table is required to inspect the argument.</w:t>
      </w:r>
    </w:p>
  </w:footnote>
  <w:footnote w:id="155">
    <w:p>
      <w:pPr>
        <w:pStyle w:val="FootnoteText"/>
      </w:pPr>
      <w:r>
        <w:rPr>
          <w:rStyle w:val="FootnoteReference"/>
        </w:rPr>
        <w:footnoteRef/>
      </w:r>
      <w:r>
        <w:t xml:space="preserve"> </w:t>
      </w:r>
      <w:r>
        <w:t xml:space="preserve">Douglas L. Kriner and Eric Schickler,</w:t>
      </w:r>
      <w:r>
        <w:t xml:space="preserve"> </w:t>
      </w:r>
      <w:r>
        <w:rPr>
          <w:iCs/>
          <w:i/>
        </w:rPr>
        <w:t xml:space="preserve">Investigating the President: Congressional Checks on Presidential Power</w:t>
      </w:r>
      <w:r>
        <w:t xml:space="preserve"> </w:t>
      </w:r>
      <w:r>
        <w:t xml:space="preserve">(Princeton: Princeton University Press, 2016), finding that House investigative activity directed at the executive is concentrated in divided government and that the effect intensifies with polarization, a result the authors distinguish from aggregate Senate investigative volume (ch. 1, p. 18); their measured mechanism is erosion of presidential public approval through publicity, not direct compulsion. Daryl J. Levinson and Richard H. Pildes,</w:t>
      </w:r>
      <w:r>
        <w:t xml:space="preserve"> </w:t>
      </w:r>
      <w:r>
        <w:t xml:space="preserve">“</w:t>
      </w:r>
      <w:r>
        <w:t xml:space="preserve">Separation of Parties, Not Powers,</w:t>
      </w:r>
      <w:r>
        <w:t xml:space="preserve">”</w:t>
      </w:r>
      <w:r>
        <w:t xml:space="preserve"> </w:t>
      </w:r>
      <w:r>
        <w:rPr>
          <w:iCs/>
          <w:i/>
        </w:rPr>
        <w:t xml:space="preserve">Harvard Law Review</w:t>
      </w:r>
      <w:r>
        <w:t xml:space="preserve"> </w:t>
      </w:r>
      <w:r>
        <w:t xml:space="preserve">119 (2006): 2311–2386, at 2312 (</w:t>
      </w:r>
      <w:r>
        <w:t xml:space="preserve">“</w:t>
      </w:r>
      <w:r>
        <w:t xml:space="preserve">The practical distinction between party-divided and party-unified government thus rivals, and often dominates, the constitutional distinction between the branches</w:t>
      </w:r>
      <w:r>
        <w:t xml:space="preserve">”</w:t>
      </w:r>
      <w:r>
        <w:t xml:space="preserve">). David R. Mayhew,</w:t>
      </w:r>
      <w:r>
        <w:t xml:space="preserve"> </w:t>
      </w:r>
      <w:r>
        <w:rPr>
          <w:iCs/>
          <w:i/>
        </w:rPr>
        <w:t xml:space="preserve">Divided We Govern</w:t>
      </w:r>
      <w:r>
        <w:t xml:space="preserve">, 2nd ed. (New Haven: Yale University Press, 2005), is further reading.</w:t>
      </w:r>
    </w:p>
  </w:footnote>
  <w:footnote w:id="156">
    <w:p>
      <w:pPr>
        <w:pStyle w:val="FootnoteText"/>
      </w:pPr>
      <w:r>
        <w:rPr>
          <w:rStyle w:val="FootnoteReference"/>
        </w:rPr>
        <w:footnoteRef/>
      </w:r>
      <w:r>
        <w:t xml:space="preserve"> </w:t>
      </w:r>
      <w:r>
        <w:t xml:space="preserve">Zegart,</w:t>
      </w:r>
      <w:r>
        <w:t xml:space="preserve"> </w:t>
      </w:r>
      <w:r>
        <w:rPr>
          <w:iCs/>
          <w:i/>
        </w:rPr>
        <w:t xml:space="preserve">Spies, Lies, and Algorithms</w:t>
      </w:r>
      <w:r>
        <w:t xml:space="preserve">, 198 (oversight has been difficult</w:t>
      </w:r>
      <w:r>
        <w:t xml:space="preserve"> </w:t>
      </w:r>
      <w:r>
        <w:t xml:space="preserve">“</w:t>
      </w:r>
      <w:r>
        <w:t xml:space="preserve">for reasons that have nothing to do with who liked whom or which party was in power</w:t>
      </w:r>
      <w:r>
        <w:t xml:space="preserve">”</w:t>
      </w:r>
      <w:r>
        <w:t xml:space="preserve">). Fights over notification also fell under both configurations (Table 2). After Iran-Contra the intelligence committees pressed notice legislation against two administrations under an opposition Congress, an impasse that</w:t>
      </w:r>
      <w:r>
        <w:t xml:space="preserve"> </w:t>
      </w:r>
      <w:r>
        <w:t xml:space="preserve">“</w:t>
      </w:r>
      <w:r>
        <w:t xml:space="preserve">lasted for almost four years</w:t>
      </w:r>
      <w:r>
        <w:t xml:space="preserve">”</w:t>
      </w:r>
      <w:r>
        <w:t xml:space="preserve"> </w:t>
      </w:r>
      <w:r>
        <w:t xml:space="preserve">before the 1991 compromise (Snider,</w:t>
      </w:r>
      <w:r>
        <w:t xml:space="preserve"> </w:t>
      </w:r>
      <w:r>
        <w:rPr>
          <w:iCs/>
          <w:i/>
        </w:rPr>
        <w:t xml:space="preserve">Agency and the Hill</w:t>
      </w:r>
      <w:r>
        <w:t xml:space="preserve">, 67). In the CIA case the agency left Chairman Graham’s requests for information unanswered in 2002, under an opposition Senate, and resisted the inquiry of the minority vice chairman, Rockefeller, a Democrat, including by refusing documents to the full committee in 2006, under a same-party Senate (S. Rep. No. 113-288, Findings and Conclusions, 5–6; U.S. Senate,</w:t>
      </w:r>
      <w:r>
        <w:t xml:space="preserve"> </w:t>
      </w:r>
      <w:r>
        <w:t xml:space="preserve">“</w:t>
      </w:r>
      <w:r>
        <w:t xml:space="preserve">Senators from West Virginia,</w:t>
      </w:r>
      <w:r>
        <w:t xml:space="preserve">”</w:t>
      </w:r>
      <w:r>
        <w:t xml:space="preserve"> </w:t>
      </w:r>
      <w:r>
        <w:t xml:space="preserve">https://www.senate.gov/states/WV/senators.htm). Further reading, not relied on for any claim: Linda L. Fowler,</w:t>
      </w:r>
      <w:r>
        <w:t xml:space="preserve"> </w:t>
      </w:r>
      <w:r>
        <w:rPr>
          <w:iCs/>
          <w:i/>
        </w:rPr>
        <w:t xml:space="preserve">Watchdogs on the Hill: The Decline of Congressional Oversight of U.S. Foreign Relations</w:t>
      </w:r>
      <w:r>
        <w:t xml:space="preserve"> </w:t>
      </w:r>
      <w:r>
        <w:t xml:space="preserve">(Princeton: Princeton University Press, 2015); Genevieve Lester,</w:t>
      </w:r>
      <w:r>
        <w:t xml:space="preserve"> </w:t>
      </w:r>
      <w:r>
        <w:rPr>
          <w:iCs/>
          <w:i/>
        </w:rPr>
        <w:t xml:space="preserve">When Should State Secrets Stay Secret? Accountability, Democratic Governance, and Intelligence</w:t>
      </w:r>
      <w:r>
        <w:t xml:space="preserve"> </w:t>
      </w:r>
      <w:r>
        <w:t xml:space="preserve">(Cambridge: Cambridge University Press, 2015).</w:t>
      </w:r>
    </w:p>
  </w:footnote>
  <w:footnote w:id="159">
    <w:p>
      <w:pPr>
        <w:pStyle w:val="FootnoteText"/>
      </w:pPr>
      <w:r>
        <w:rPr>
          <w:rStyle w:val="FootnoteReference"/>
        </w:rPr>
        <w:footnoteRef/>
      </w:r>
      <w:r>
        <w:t xml:space="preserve"> </w:t>
      </w:r>
      <w:r>
        <w:rPr>
          <w:iCs/>
          <w:i/>
        </w:rPr>
        <w:t xml:space="preserve">Trump v. Mazars USA, LLP</w:t>
      </w:r>
      <w:r>
        <w:t xml:space="preserve">, 591 U.S. ___ (2020), slip op. at 2 (an</w:t>
      </w:r>
      <w:r>
        <w:t xml:space="preserve"> </w:t>
      </w:r>
      <w:r>
        <w:t xml:space="preserve">“</w:t>
      </w:r>
      <w:r>
        <w:t xml:space="preserve">ongoing relationship that the Framers intended to feature both rivalry and reciprocity</w:t>
      </w:r>
      <w:r>
        <w:t xml:space="preserve">”</w:t>
      </w:r>
      <w:r>
        <w:t xml:space="preserve">), 7 (such disputes</w:t>
      </w:r>
      <w:r>
        <w:t xml:space="preserve"> </w:t>
      </w:r>
      <w:r>
        <w:t xml:space="preserve">“</w:t>
      </w:r>
      <w:r>
        <w:t xml:space="preserve">have been hashed out in the</w:t>
      </w:r>
      <w:r>
        <w:t xml:space="preserve"> </w:t>
      </w:r>
      <w:r>
        <w:t xml:space="preserve">‘</w:t>
      </w:r>
      <w:r>
        <w:t xml:space="preserve">hurly-burly, the give-and-take of the political process</w:t>
      </w:r>
      <w:r>
        <w:t xml:space="preserve">’</w:t>
      </w:r>
      <w:r>
        <w:t xml:space="preserve">”</w:t>
      </w:r>
      <w:r>
        <w:t xml:space="preserve">), and 10–11 (</w:t>
      </w:r>
      <w:r>
        <w:t xml:space="preserve">“</w:t>
      </w:r>
      <w:r>
        <w:t xml:space="preserve">longstanding practice</w:t>
      </w:r>
      <w:r>
        <w:t xml:space="preserve">”</w:t>
      </w:r>
      <w:r>
        <w:t xml:space="preserve">);</w:t>
      </w:r>
      <w:r>
        <w:t xml:space="preserve"> </w:t>
      </w:r>
      <w:r>
        <w:rPr>
          <w:iCs/>
          <w:i/>
        </w:rPr>
        <w:t xml:space="preserve">AT&amp;T</w:t>
      </w:r>
      <w:r>
        <w:t xml:space="preserve">, 567 F.2d 121, 127 (Leventhal, J.) (</w:t>
      </w:r>
      <w:r>
        <w:t xml:space="preserve">“</w:t>
      </w:r>
      <w:r>
        <w:t xml:space="preserve">an implicit constitutional mandate to seek optimal accommodation through a realistic evaluation of the needs of the conflicting branches</w:t>
      </w:r>
      <w:r>
        <w:t xml:space="preserve">”</w:t>
      </w:r>
      <w:r>
        <w:t xml:space="preserve">). See also Clark,</w:t>
      </w:r>
      <w:r>
        <w:t xml:space="preserve"> </w:t>
      </w:r>
      <w:r>
        <w:t xml:space="preserve">“</w:t>
      </w:r>
      <w:r>
        <w:t xml:space="preserve">Congressional Access to Intelligence Information</w:t>
      </w:r>
      <w:r>
        <w:t xml:space="preserve">”</w:t>
      </w:r>
      <w:r>
        <w:t xml:space="preserve">; Kitrosser,</w:t>
      </w:r>
      <w:r>
        <w:t xml:space="preserve"> </w:t>
      </w:r>
      <w:r>
        <w:t xml:space="preserve">“</w:t>
      </w:r>
      <w:r>
        <w:t xml:space="preserve">Congressional Oversight of National Security Activities.</w:t>
      </w:r>
      <w:r>
        <w:t xml:space="preserve">”</w:t>
      </w:r>
    </w:p>
  </w:footnote>
  <w:footnote w:id="160">
    <w:p>
      <w:pPr>
        <w:pStyle w:val="FootnoteText"/>
      </w:pPr>
      <w:r>
        <w:rPr>
          <w:rStyle w:val="FootnoteReference"/>
        </w:rPr>
        <w:footnoteRef/>
      </w:r>
      <w:r>
        <w:t xml:space="preserve"> </w:t>
      </w:r>
      <w:r>
        <w:t xml:space="preserve">The police-patrol / fire-alarm distinction is from McCubbins and Schwartz,</w:t>
      </w:r>
      <w:r>
        <w:t xml:space="preserve"> </w:t>
      </w:r>
      <w:r>
        <w:t xml:space="preserve">“</w:t>
      </w:r>
      <w:r>
        <w:t xml:space="preserve">Congressional Oversight Overlooked,</w:t>
      </w:r>
      <w:r>
        <w:t xml:space="preserve">”</w:t>
      </w:r>
      <w:r>
        <w:t xml:space="preserve"> </w:t>
      </w:r>
      <w:r>
        <w:t xml:space="preserve">166.</w:t>
      </w:r>
    </w:p>
  </w:footnote>
  <w:footnote w:id="161">
    <w:p>
      <w:pPr>
        <w:pStyle w:val="FootnoteText"/>
      </w:pPr>
      <w:r>
        <w:rPr>
          <w:rStyle w:val="FootnoteReference"/>
        </w:rPr>
        <w:footnoteRef/>
      </w:r>
      <w:r>
        <w:t xml:space="preserve"> </w:t>
      </w:r>
      <w:r>
        <w:t xml:space="preserve">Senate Finance Committee minority staff, Looking the Other Way: How Wall Street Banks enabled Jeffrey Epstein’s sex trafficking, August 4, 2026, PDF pp. 4–6, https://www.finance.senate.gov/imo/media/doc/wyden_wall_street_epstein_report.pdf. The staff’s conclusion that Bank of America likely violated AML law is an attributed legislative assessment, not an adjudication or proof that prosecutors made a formal declination. The report describes Treasury access at controlled facilities on February 14, 2024; later public SAR releases mean controlled access then is not a claim that those records remain permanently unavailable. Cited here as a further instance of detected conduct without enforcement: the staff report calls</w:t>
      </w:r>
      <w:r>
        <w:t xml:space="preserve"> </w:t>
      </w:r>
      <w:r>
        <w:t xml:space="preserve">“</w:t>
      </w:r>
      <w:r>
        <w:t xml:space="preserve">[t]he lack of enforcement action against Wall Street banks and their employees regarding their handling of Epstein’s accounts</w:t>
      </w:r>
      <w:r>
        <w:t xml:space="preserve">”</w:t>
      </w:r>
      <w:r>
        <w:t xml:space="preserve"> </w:t>
      </w:r>
      <w:r>
        <w:t xml:space="preserve">a miscarriage of justice (printed p. 65).</w:t>
      </w:r>
    </w:p>
  </w:footnote>
  <w:footnote w:id="162">
    <w:p>
      <w:pPr>
        <w:pStyle w:val="FootnoteText"/>
      </w:pPr>
      <w:r>
        <w:rPr>
          <w:rStyle w:val="FootnoteReference"/>
        </w:rPr>
        <w:footnoteRef/>
      </w:r>
      <w:r>
        <w:t xml:space="preserve"> </w:t>
      </w:r>
      <w:r>
        <w:t xml:space="preserve">Walsh,</w:t>
      </w:r>
      <w:r>
        <w:t xml:space="preserve"> </w:t>
      </w:r>
      <w:r>
        <w:rPr>
          <w:iCs/>
          <w:i/>
        </w:rPr>
        <w:t xml:space="preserve">Final Report</w:t>
      </w:r>
      <w:r>
        <w:t xml:space="preserve">, vol. 1, pp. xxi (the classification discretion</w:t>
      </w:r>
      <w:r>
        <w:t xml:space="preserve"> </w:t>
      </w:r>
      <w:r>
        <w:t xml:space="preserve">“</w:t>
      </w:r>
      <w:r>
        <w:t xml:space="preserve">gives the attorney general the power to block almost any potentially embarrassing prosecution that requires the declassification of information</w:t>
      </w:r>
      <w:r>
        <w:t xml:space="preserve">”</w:t>
      </w:r>
      <w:r>
        <w:t xml:space="preserve">), xxiii (one case</w:t>
      </w:r>
      <w:r>
        <w:t xml:space="preserve"> </w:t>
      </w:r>
      <w:r>
        <w:t xml:space="preserve">“</w:t>
      </w:r>
      <w:r>
        <w:t xml:space="preserve">dismissed when the Bush Administration declined to declassify information necessary for trial</w:t>
      </w:r>
      <w:r>
        <w:t xml:space="preserve">”</w:t>
      </w:r>
      <w:r>
        <w:t xml:space="preserve">), xxiv–xxv (Fernandez was indicted on June 20, 1988 for</w:t>
      </w:r>
      <w:r>
        <w:t xml:space="preserve"> </w:t>
      </w:r>
      <w:r>
        <w:t xml:space="preserve">“</w:t>
      </w:r>
      <w:r>
        <w:t xml:space="preserve">obstructing the inquiry of the Tower Commission and making false statements to government agencies</w:t>
      </w:r>
      <w:r>
        <w:t xml:space="preserve">”</w:t>
      </w:r>
      <w:r>
        <w:t xml:space="preserve">; Judge Hilton dismissed the case on November 24, 1989,</w:t>
      </w:r>
      <w:r>
        <w:t xml:space="preserve"> </w:t>
      </w:r>
      <w:r>
        <w:t xml:space="preserve">“</w:t>
      </w:r>
      <w:r>
        <w:t xml:space="preserve">after Attorney General Richard Thornburgh blocked the disclosure of classified information ruled relevant to the defense</w:t>
      </w:r>
      <w:r>
        <w:t xml:space="preserve">”</w:t>
      </w:r>
      <w:r>
        <w:t xml:space="preserve">), and 37 (on January 13, 1989 Judge Gesell dismissed</w:t>
      </w:r>
      <w:r>
        <w:t xml:space="preserve"> </w:t>
      </w:r>
      <w:r>
        <w:t xml:space="preserve">“</w:t>
      </w:r>
      <w:r>
        <w:t xml:space="preserve">the central conspiracy and theft charges against North because the Reagan Administration refused to declassify certain information deemed relevant to these charges</w:t>
      </w:r>
      <w:r>
        <w:t xml:space="preserve">”</w:t>
      </w:r>
      <w:r>
        <w:t xml:space="preserve">).</w:t>
      </w:r>
    </w:p>
  </w:footnote>
  <w:footnote w:id="163">
    <w:p>
      <w:pPr>
        <w:pStyle w:val="FootnoteText"/>
      </w:pPr>
      <w:r>
        <w:rPr>
          <w:rStyle w:val="FootnoteReference"/>
        </w:rPr>
        <w:footnoteRef/>
      </w:r>
      <w:r>
        <w:t xml:space="preserve"> </w:t>
      </w:r>
      <w:r>
        <w:rPr>
          <w:iCs/>
          <w:i/>
        </w:rPr>
        <w:t xml:space="preserve">United States v. Nixon</w:t>
      </w:r>
      <w:r>
        <w:t xml:space="preserve">, 418 U.S. at 687 (on March 1, 1974 a grand jury</w:t>
      </w:r>
      <w:r>
        <w:t xml:space="preserve"> </w:t>
      </w:r>
      <w:r>
        <w:t xml:space="preserve">“</w:t>
      </w:r>
      <w:r>
        <w:t xml:space="preserve">returned an indictment charging seven named individuals</w:t>
      </w:r>
      <w:r>
        <w:t xml:space="preserve">”</w:t>
      </w:r>
      <w:r>
        <w:t xml:space="preserve">);</w:t>
      </w:r>
      <w:r>
        <w:t xml:space="preserve"> </w:t>
      </w:r>
      <w:r>
        <w:rPr>
          <w:iCs/>
          <w:i/>
        </w:rPr>
        <w:t xml:space="preserve">Haldeman</w:t>
      </w:r>
      <w:r>
        <w:t xml:space="preserve">, 559 F.2d 31 (the convictions of Haldeman, Ehrlichman, and Mitchell affirmed).</w:t>
      </w:r>
    </w:p>
  </w:footnote>
  <w:footnote w:id="164">
    <w:p>
      <w:pPr>
        <w:pStyle w:val="FootnoteText"/>
      </w:pPr>
      <w:r>
        <w:rPr>
          <w:rStyle w:val="FootnoteReference"/>
        </w:rPr>
        <w:footnoteRef/>
      </w:r>
      <w:r>
        <w:t xml:space="preserve"> </w:t>
      </w:r>
      <w:r>
        <w:t xml:space="preserve">Steven Levitsky and Daniel Ziblatt,</w:t>
      </w:r>
      <w:r>
        <w:t xml:space="preserve"> </w:t>
      </w:r>
      <w:r>
        <w:rPr>
          <w:iCs/>
          <w:i/>
        </w:rPr>
        <w:t xml:space="preserve">How Democracies Die</w:t>
      </w:r>
      <w:r>
        <w:t xml:space="preserve"> </w:t>
      </w:r>
      <w:r>
        <w:t xml:space="preserve">(New York: Crown, 2018); Yascha Mounk,</w:t>
      </w:r>
      <w:r>
        <w:t xml:space="preserve"> </w:t>
      </w:r>
      <w:r>
        <w:rPr>
          <w:iCs/>
          <w:i/>
        </w:rPr>
        <w:t xml:space="preserve">The People vs. Democracy: Why Our Freedom Is in Danger and How to Save It</w:t>
      </w:r>
      <w:r>
        <w:t xml:space="preserve"> </w:t>
      </w:r>
      <w:r>
        <w:t xml:space="preserve">(Cambridge, MA: Harvard University Press, 2018).</w:t>
      </w:r>
    </w:p>
  </w:footnote>
  <w:footnote w:id="165">
    <w:p>
      <w:pPr>
        <w:pStyle w:val="FootnoteText"/>
      </w:pPr>
      <w:r>
        <w:rPr>
          <w:rStyle w:val="FootnoteReference"/>
        </w:rPr>
        <w:footnoteRef/>
      </w:r>
      <w:r>
        <w:t xml:space="preserve"> </w:t>
      </w:r>
      <w:r>
        <w:t xml:space="preserve">Marc J. Hetherington,</w:t>
      </w:r>
      <w:r>
        <w:t xml:space="preserve"> </w:t>
      </w:r>
      <w:r>
        <w:t xml:space="preserve">“</w:t>
      </w:r>
      <w:r>
        <w:t xml:space="preserve">The Political Relevance of Political Trust,</w:t>
      </w:r>
      <w:r>
        <w:t xml:space="preserve">”</w:t>
      </w:r>
      <w:r>
        <w:t xml:space="preserve"> </w:t>
      </w:r>
      <w:r>
        <w:rPr>
          <w:iCs/>
          <w:i/>
        </w:rPr>
        <w:t xml:space="preserve">American Political Science Review</w:t>
      </w:r>
      <w:r>
        <w:t xml:space="preserve"> </w:t>
      </w:r>
      <w:r>
        <w:t xml:space="preserve">92, no. 4 (1998): 791–808; Hetherington,</w:t>
      </w:r>
      <w:r>
        <w:t xml:space="preserve"> </w:t>
      </w:r>
      <w:r>
        <w:rPr>
          <w:iCs/>
          <w:i/>
        </w:rPr>
        <w:t xml:space="preserve">Why Trust Matters: Declining Political Trust and the Demise of American Liberalism</w:t>
      </w:r>
      <w:r>
        <w:t xml:space="preserve"> </w:t>
      </w:r>
      <w:r>
        <w:t xml:space="preserve">(Princeton: Princeton University Press, 2005); Virginia A. Chanley, Thomas J. Rudolph, and Wendy M. Rahn,</w:t>
      </w:r>
      <w:r>
        <w:t xml:space="preserve"> </w:t>
      </w:r>
      <w:r>
        <w:t xml:space="preserve">“</w:t>
      </w:r>
      <w:r>
        <w:t xml:space="preserve">The Origins and Consequences of Public Trust in Government: A Time Series Analysis,</w:t>
      </w:r>
      <w:r>
        <w:t xml:space="preserve">”</w:t>
      </w:r>
      <w:r>
        <w:t xml:space="preserve"> </w:t>
      </w:r>
      <w:r>
        <w:rPr>
          <w:iCs/>
          <w:i/>
        </w:rPr>
        <w:t xml:space="preserve">Public Opinion Quarterly</w:t>
      </w:r>
      <w:r>
        <w:t xml:space="preserve"> </w:t>
      </w:r>
      <w:r>
        <w:t xml:space="preserve">64, no. 3 (2000): 239–256; Jack Citrin and Donald Philip Green,</w:t>
      </w:r>
      <w:r>
        <w:t xml:space="preserve"> </w:t>
      </w:r>
      <w:r>
        <w:t xml:space="preserve">“</w:t>
      </w:r>
      <w:r>
        <w:t xml:space="preserve">Presidential Leadership and the Resurgence of Trust in Government,</w:t>
      </w:r>
      <w:r>
        <w:t xml:space="preserve">”</w:t>
      </w:r>
      <w:r>
        <w:t xml:space="preserve"> </w:t>
      </w:r>
      <w:r>
        <w:rPr>
          <w:iCs/>
          <w:i/>
        </w:rPr>
        <w:t xml:space="preserve">British Journal of Political Science</w:t>
      </w:r>
      <w:r>
        <w:t xml:space="preserve"> </w:t>
      </w:r>
      <w:r>
        <w:t xml:space="preserve">16, no. 4 (1986): 431–453; Marc J. Hetherington and Jason A. Husser,</w:t>
      </w:r>
      <w:r>
        <w:t xml:space="preserve"> </w:t>
      </w:r>
      <w:r>
        <w:t xml:space="preserve">“</w:t>
      </w:r>
      <w:r>
        <w:t xml:space="preserve">How Trust Matters: The Changing Political Relevance of Political Trust,</w:t>
      </w:r>
      <w:r>
        <w:t xml:space="preserve">”</w:t>
      </w:r>
      <w:r>
        <w:t xml:space="preserve"> </w:t>
      </w:r>
      <w:r>
        <w:rPr>
          <w:iCs/>
          <w:i/>
        </w:rPr>
        <w:t xml:space="preserve">American Journal of Political Science</w:t>
      </w:r>
      <w:r>
        <w:t xml:space="preserve"> </w:t>
      </w:r>
      <w:r>
        <w:t xml:space="preserve">56, no. 2 (2012): 312–325. For the post-Snowden Pew panel data, see Pew Research Center,</w:t>
      </w:r>
      <w:r>
        <w:t xml:space="preserve"> </w:t>
      </w:r>
      <w:r>
        <w:t xml:space="preserve">“</w:t>
      </w:r>
      <w:r>
        <w:t xml:space="preserve">Public Perceptions of Privacy and Security in the Post-Snowden Era</w:t>
      </w:r>
      <w:r>
        <w:t xml:space="preserve">”</w:t>
      </w:r>
      <w:r>
        <w:t xml:space="preserve"> </w:t>
      </w:r>
      <w:r>
        <w:t xml:space="preserve">(2014). For the 1964 (77%) and 2025 (17%) trust-in-government endpoints, see Pew Research Center,</w:t>
      </w:r>
      <w:r>
        <w:t xml:space="preserve"> </w:t>
      </w:r>
      <w:r>
        <w:t xml:space="preserve">“</w:t>
      </w:r>
      <w:r>
        <w:t xml:space="preserve">Public Trust in Government</w:t>
      </w:r>
      <w:r>
        <w:t xml:space="preserve">”</w:t>
      </w:r>
      <w:r>
        <w:t xml:space="preserve"> </w:t>
      </w:r>
      <w:r>
        <w:t xml:space="preserve">longitudinal series (1958–present).</w:t>
      </w:r>
    </w:p>
  </w:footnote>
  <w:footnote w:id="166">
    <w:p>
      <w:pPr>
        <w:pStyle w:val="FootnoteText"/>
      </w:pPr>
      <w:r>
        <w:rPr>
          <w:rStyle w:val="FootnoteReference"/>
        </w:rPr>
        <w:footnoteRef/>
      </w:r>
      <w:r>
        <w:t xml:space="preserve"> </w:t>
      </w:r>
      <w:r>
        <w:t xml:space="preserve">On non-uniform scandal effects on political trust: Marc Hetherington and Jason Husser,</w:t>
      </w:r>
      <w:r>
        <w:t xml:space="preserve"> </w:t>
      </w:r>
      <w:r>
        <w:t xml:space="preserve">“</w:t>
      </w:r>
      <w:r>
        <w:t xml:space="preserve">How Trust Matters: The Changing Political Relevance of Political Trust,</w:t>
      </w:r>
      <w:r>
        <w:t xml:space="preserve">”</w:t>
      </w:r>
      <w:r>
        <w:t xml:space="preserve"> </w:t>
      </w:r>
      <w:r>
        <w:rPr>
          <w:iCs/>
          <w:i/>
        </w:rPr>
        <w:t xml:space="preserve">American Journal of Political Science</w:t>
      </w:r>
      <w:r>
        <w:t xml:space="preserve"> </w:t>
      </w:r>
      <w:r>
        <w:t xml:space="preserve">56, no. 2 (2012): 312–325 (post-9/11 pivot to the foreign-policy domain); Virginia Chanley, Thomas Rudolph, and Wendy Rahn,</w:t>
      </w:r>
      <w:r>
        <w:t xml:space="preserve"> </w:t>
      </w:r>
      <w:r>
        <w:t xml:space="preserve">“</w:t>
      </w:r>
      <w:r>
        <w:t xml:space="preserve">The Origins and Consequences of Public Trust in Government,</w:t>
      </w:r>
      <w:r>
        <w:t xml:space="preserve">”</w:t>
      </w:r>
      <w:r>
        <w:t xml:space="preserve"> </w:t>
      </w:r>
      <w:r>
        <w:rPr>
          <w:iCs/>
          <w:i/>
        </w:rPr>
        <w:t xml:space="preserve">Public Opinion Quarterly</w:t>
      </w:r>
      <w:r>
        <w:t xml:space="preserve"> </w:t>
      </w:r>
      <w:r>
        <w:t xml:space="preserve">64, no. 3 (2000): 239–256 (branch-asymmetric scandal effects); Jack Citrin and Donald Green,</w:t>
      </w:r>
      <w:r>
        <w:t xml:space="preserve"> </w:t>
      </w:r>
      <w:r>
        <w:t xml:space="preserve">“</w:t>
      </w:r>
      <w:r>
        <w:t xml:space="preserve">Presidential Leadership and the Resurgence of Trust in Government,</w:t>
      </w:r>
      <w:r>
        <w:t xml:space="preserve">”</w:t>
      </w:r>
      <w:r>
        <w:t xml:space="preserve"> </w:t>
      </w:r>
      <w:r>
        <w:rPr>
          <w:iCs/>
          <w:i/>
        </w:rPr>
        <w:t xml:space="preserve">British Journal of Political Science</w:t>
      </w:r>
      <w:r>
        <w:t xml:space="preserve"> </w:t>
      </w:r>
      <w:r>
        <w:t xml:space="preserve">16, no. 4 (1986): 431–453 (Reagan-era</w:t>
      </w:r>
      <w:r>
        <w:t xml:space="preserve"> </w:t>
      </w:r>
      <w:r>
        <w:t xml:space="preserve">“</w:t>
      </w:r>
      <w:r>
        <w:t xml:space="preserve">Teflon</w:t>
      </w:r>
      <w:r>
        <w:t xml:space="preserve">”</w:t>
      </w:r>
      <w:r>
        <w:t xml:space="preserve">); and the post-Snowden Pew Research Center surveys and their retrospective review: Mary Madden,</w:t>
      </w:r>
      <w:r>
        <w:t xml:space="preserve"> </w:t>
      </w:r>
      <w:r>
        <w:t xml:space="preserve">“</w:t>
      </w:r>
      <w:r>
        <w:t xml:space="preserve">Public Perceptions of Privacy and Security in the Post-Snowden Era,</w:t>
      </w:r>
      <w:r>
        <w:t xml:space="preserve">”</w:t>
      </w:r>
      <w:r>
        <w:t xml:space="preserve"> </w:t>
      </w:r>
      <w:r>
        <w:t xml:space="preserve">Pew Research Center, November 12, 2014, https://www.pewresearch.org/internet/2014/11/12/public-privacy-perceptions/; Lee Rainie and Mary Madden,</w:t>
      </w:r>
      <w:r>
        <w:t xml:space="preserve"> </w:t>
      </w:r>
      <w:r>
        <w:t xml:space="preserve">“</w:t>
      </w:r>
      <w:r>
        <w:t xml:space="preserve">Americans’ Privacy Strategies Post-Snowden,</w:t>
      </w:r>
      <w:r>
        <w:t xml:space="preserve">”</w:t>
      </w:r>
      <w:r>
        <w:t xml:space="preserve"> </w:t>
      </w:r>
      <w:r>
        <w:t xml:space="preserve">Pew Research Center, March 16, 2015, https://www.pewresearch.org/internet/2015/03/16/americans-privacy-strategies-post-snowden/; and Pew Research Center,</w:t>
      </w:r>
      <w:r>
        <w:t xml:space="preserve"> </w:t>
      </w:r>
      <w:r>
        <w:t xml:space="preserve">“</w:t>
      </w:r>
      <w:r>
        <w:t xml:space="preserve">How Americans Have Viewed Government Surveillance and Privacy since Snowden Leaks,</w:t>
      </w:r>
      <w:r>
        <w:t xml:space="preserve">”</w:t>
      </w:r>
      <w:r>
        <w:t xml:space="preserve"> </w:t>
      </w:r>
      <w:r>
        <w:t xml:space="preserve">June 4, 2018, https://www.pewresearch.org/short-reads/2018/06/04/how-americans-have-viewed-government-surveillance-and-privacy-since-snowden-leaks/. Synthesis (the author’s inference, not a finding of the cited works): scandal revelations are among several influences on trust, alongside economic and sociocultural drivers; whether their effect differs by frame (broad-victim privacy framing versus out-group national-security framing) is untested here.</w:t>
      </w:r>
    </w:p>
  </w:footnote>
  <w:footnote w:id="167">
    <w:p>
      <w:pPr>
        <w:pStyle w:val="FootnoteText"/>
      </w:pPr>
      <w:r>
        <w:rPr>
          <w:rStyle w:val="FootnoteReference"/>
        </w:rPr>
        <w:footnoteRef/>
      </w:r>
      <w:r>
        <w:t xml:space="preserve"> </w:t>
      </w:r>
      <w:r>
        <w:t xml:space="preserve">Clark,</w:t>
      </w:r>
      <w:r>
        <w:t xml:space="preserve"> </w:t>
      </w:r>
      <w:r>
        <w:t xml:space="preserve">“</w:t>
      </w:r>
      <w:r>
        <w:t xml:space="preserve">Congressional Access to Intelligence Information,</w:t>
      </w:r>
      <w:r>
        <w:t xml:space="preserve">”</w:t>
      </w:r>
      <w:r>
        <w:t xml:space="preserve"> </w:t>
      </w:r>
      <w:r>
        <w:t xml:space="preserve">pp. 14–15 (Part IV,</w:t>
      </w:r>
      <w:r>
        <w:t xml:space="preserve"> </w:t>
      </w:r>
      <w:r>
        <w:t xml:space="preserve">“</w:t>
      </w:r>
      <w:r>
        <w:t xml:space="preserve">Critique of the Current System: Limited Access as Inoculation</w:t>
      </w:r>
      <w:r>
        <w:t xml:space="preserve">”</w:t>
      </w:r>
      <w:r>
        <w:t xml:space="preserve">), describes executive-imposed access restrictions and limits on consultation, with congressional silence converted into apparent endorsement; she does not identify a signed classified-access agreement as the instrument. Clark’s account supports restricted consultation and silence converted into apparent endorsement; it does not address motive behind a later public release. This paper proposes, as an untested hypothesis, an extension to a public audience: that a large partial release may saturate attention on some dimensions while others remain unresolved. No intent is claimed. The hypothesis predicts that, after the release, coverage density and survey attention on the unresolved dimensions will fall relative to the resolved ones; 2026–27 coverage counts and polling could test it.</w:t>
      </w:r>
    </w:p>
  </w:footnote>
  <w:footnote w:id="168">
    <w:p>
      <w:pPr>
        <w:pStyle w:val="FootnoteText"/>
      </w:pPr>
      <w:r>
        <w:rPr>
          <w:rStyle w:val="FootnoteReference"/>
        </w:rPr>
        <w:footnoteRef/>
      </w:r>
      <w:r>
        <w:t xml:space="preserve"> </w:t>
      </w:r>
      <w:r>
        <w:t xml:space="preserve">New Mexico Survivors’ Truth Commission,</w:t>
      </w:r>
      <w:r>
        <w:t xml:space="preserve"> </w:t>
      </w:r>
      <w:r>
        <w:rPr>
          <w:iCs/>
          <w:i/>
        </w:rPr>
        <w:t xml:space="preserve">Interim Report</w:t>
      </w:r>
      <w:r>
        <w:t xml:space="preserve"> </w:t>
      </w:r>
      <w:r>
        <w:t xml:space="preserve">(August 5, 2026), https://www.nmlegis.gov/handouts/HISC%20080526%20Item%201%20Interim%20Report.pdf, pp. 12–14 and 21, and</w:t>
      </w:r>
      <w:r>
        <w:t xml:space="preserve"> </w:t>
      </w:r>
      <w:r>
        <w:t xml:space="preserve">“</w:t>
      </w:r>
      <w:r>
        <w:t xml:space="preserve">Disclaimer &amp; Disclosures,</w:t>
      </w:r>
      <w:r>
        <w:t xml:space="preserve">”</w:t>
      </w:r>
      <w:r>
        <w:t xml:space="preserve"> </w:t>
      </w:r>
      <w:r>
        <w:t xml:space="preserve">p. 5. House Resolution 1 was approved February 16, 2026, 62–0; it established the Commission with a remit concerning Epstein, his co-conspirators, and his facilitators in New Mexico, granted witness-compulsion and subpoena powers, and the report records use of HR-1 subpoenas while expressly offering no final findings.</w:t>
      </w:r>
    </w:p>
  </w:footnote>
  <w:footnote w:id="170">
    <w:p>
      <w:pPr>
        <w:pStyle w:val="FootnoteText"/>
      </w:pPr>
      <w:r>
        <w:rPr>
          <w:rStyle w:val="FootnoteReference"/>
        </w:rPr>
        <w:footnoteRef/>
      </w:r>
      <w:r>
        <w:t xml:space="preserve"> </w:t>
      </w:r>
      <w:r>
        <w:rPr>
          <w:iCs/>
          <w:i/>
        </w:rPr>
        <w:t xml:space="preserve">Phang v. Blanche</w:t>
      </w:r>
      <w:r>
        <w:t xml:space="preserve">, ECF 16, pp. 17–18 (the Attorney General’s arguments that the Act creates no private right of action, that the plaintiff lacks Article III standing, and that the APA waiver does not apply because FOIA is an adequate remedy) and 22 (informational injury, citing</w:t>
      </w:r>
      <w:r>
        <w:t xml:space="preserve"> </w:t>
      </w:r>
      <w:r>
        <w:rPr>
          <w:iCs/>
          <w:i/>
        </w:rPr>
        <w:t xml:space="preserve">FEC v. Akins</w:t>
      </w:r>
      <w:r>
        <w:t xml:space="preserve">, 524 U.S. 11 (1998), and</w:t>
      </w:r>
      <w:r>
        <w:t xml:space="preserve"> </w:t>
      </w:r>
      <w:r>
        <w:rPr>
          <w:iCs/>
          <w:i/>
        </w:rPr>
        <w:t xml:space="preserve">Public Citizen v. U.S. Department of Justice</w:t>
      </w:r>
      <w:r>
        <w:t xml:space="preserve">, 491 U.S. 440 (1989)); ECF 42 (administrative record); ECF 43, p. 10 (in camera review under the court’s</w:t>
      </w:r>
      <w:r>
        <w:t xml:space="preserve"> </w:t>
      </w:r>
      <w:r>
        <w:t xml:space="preserve">“</w:t>
      </w:r>
      <w:r>
        <w:t xml:space="preserve">inherent authority to review . . . material ex parte, in camera as part of its judicial review function</w:t>
      </w:r>
      <w:r>
        <w:t xml:space="preserve">”</w:t>
      </w:r>
      <w:r>
        <w:t xml:space="preserve">); appeals Nos. 26-5299 and 26-5334 (D.C. Cir.). Compare 5 U.S.C. § 552(a)(4)(B) (the court</w:t>
      </w:r>
      <w:r>
        <w:t xml:space="preserve"> </w:t>
      </w:r>
      <w:r>
        <w:t xml:space="preserve">“</w:t>
      </w:r>
      <w:r>
        <w:t xml:space="preserve">shall determine the matter de novo,</w:t>
      </w:r>
      <w:r>
        <w:t xml:space="preserve">”</w:t>
      </w:r>
      <w:r>
        <w:t xml:space="preserve"> </w:t>
      </w:r>
      <w:r>
        <w:t xml:space="preserve">may examine records</w:t>
      </w:r>
      <w:r>
        <w:t xml:space="preserve"> </w:t>
      </w:r>
      <w:r>
        <w:t xml:space="preserve">“</w:t>
      </w:r>
      <w:r>
        <w:t xml:space="preserve">in camera,</w:t>
      </w:r>
      <w:r>
        <w:t xml:space="preserve">”</w:t>
      </w:r>
      <w:r>
        <w:t xml:space="preserve"> </w:t>
      </w:r>
      <w:r>
        <w:t xml:space="preserve">and</w:t>
      </w:r>
      <w:r>
        <w:t xml:space="preserve"> </w:t>
      </w:r>
      <w:r>
        <w:t xml:space="preserve">“</w:t>
      </w:r>
      <w:r>
        <w:t xml:space="preserve">the burden is on the agency to sustain its action</w:t>
      </w:r>
      <w:r>
        <w:t xml:space="preserve">”</w:t>
      </w:r>
      <w:r>
        <w:t xml:space="preserve">) and (a)(4)(E)(ii) (a complainant</w:t>
      </w:r>
      <w:r>
        <w:t xml:space="preserve"> </w:t>
      </w:r>
      <w:r>
        <w:t xml:space="preserve">“</w:t>
      </w:r>
      <w:r>
        <w:t xml:space="preserve">substantially prevailed</w:t>
      </w:r>
      <w:r>
        <w:t xml:space="preserve">”</w:t>
      </w:r>
      <w:r>
        <w:t xml:space="preserve"> </w:t>
      </w:r>
      <w:r>
        <w:t xml:space="preserve">through</w:t>
      </w:r>
      <w:r>
        <w:t xml:space="preserve"> </w:t>
      </w:r>
      <w:r>
        <w:t xml:space="preserve">“</w:t>
      </w:r>
      <w:r>
        <w:t xml:space="preserve">a voluntary or unilateral change in position by the agency</w:t>
      </w:r>
      <w:r>
        <w:t xml:space="preserve">”</w:t>
      </w:r>
      <w:r>
        <w:t xml:space="preserve">). The APA supplies no general fee entitlement, but eligible prevailing parties may recover under the Equal Access to Justice Act (EAJA), 28 U.S.C. § 2412(d)(1)(A), (2)(B), unless the Government’s position was substantially justified or special circumstances make an award unjust. That conditional recovery is not an EFTA-specific fee provision. Unlike FOIA’s express voluntary-disclosure provision, § 2412(d) does not expressly count a voluntary or unilateral agency change as substantially prevailing; the proposed FOIA-style provision would specify that catalyst route.</w:t>
      </w:r>
    </w:p>
  </w:footnote>
  <w:footnote w:id="171">
    <w:p>
      <w:pPr>
        <w:pStyle w:val="FootnoteText"/>
      </w:pPr>
      <w:r>
        <w:rPr>
          <w:rStyle w:val="FootnoteReference"/>
        </w:rPr>
        <w:footnoteRef/>
      </w:r>
      <w:r>
        <w:t xml:space="preserve"> </w:t>
      </w:r>
      <w:r>
        <w:rPr>
          <w:iCs/>
          <w:i/>
        </w:rPr>
        <w:t xml:space="preserve">Youngstown Sheet &amp; Tube Co. v. Sawyer</w:t>
      </w:r>
      <w:r>
        <w:t xml:space="preserve">, 343 U.S. 579, 637–38 (1952) (Jackson, J., concurring), as applied in</w:t>
      </w:r>
      <w:r>
        <w:t xml:space="preserve"> </w:t>
      </w:r>
      <w:r>
        <w:rPr>
          <w:iCs/>
          <w:i/>
        </w:rPr>
        <w:t xml:space="preserve">Zivotofsky</w:t>
      </w:r>
      <w:r>
        <w:t xml:space="preserve">, 576 U.S. at 10 (in the third category the President’s</w:t>
      </w:r>
      <w:r>
        <w:t xml:space="preserve"> </w:t>
      </w:r>
      <w:r>
        <w:t xml:space="preserve">“</w:t>
      </w:r>
      <w:r>
        <w:t xml:space="preserve">asserted power must be both</w:t>
      </w:r>
      <w:r>
        <w:t xml:space="preserve"> </w:t>
      </w:r>
      <w:r>
        <w:t xml:space="preserve">‘</w:t>
      </w:r>
      <w:r>
        <w:t xml:space="preserve">exclusive</w:t>
      </w:r>
      <w:r>
        <w:t xml:space="preserve">’</w:t>
      </w:r>
      <w:r>
        <w:t xml:space="preserve"> </w:t>
      </w:r>
      <w:r>
        <w:t xml:space="preserve">and</w:t>
      </w:r>
      <w:r>
        <w:t xml:space="preserve"> </w:t>
      </w:r>
      <w:r>
        <w:t xml:space="preserve">‘</w:t>
      </w:r>
      <w:r>
        <w:t xml:space="preserve">conclusive</w:t>
      </w:r>
      <w:r>
        <w:t xml:space="preserve">’</w:t>
      </w:r>
      <w:r>
        <w:t xml:space="preserve"> </w:t>
      </w:r>
      <w:r>
        <w:t xml:space="preserve">on the issue</w:t>
      </w:r>
      <w:r>
        <w:t xml:space="preserve">”</w:t>
      </w:r>
      <w:r>
        <w:t xml:space="preserve">);</w:t>
      </w:r>
      <w:r>
        <w:t xml:space="preserve"> </w:t>
      </w:r>
      <w:r>
        <w:rPr>
          <w:iCs/>
          <w:i/>
        </w:rPr>
        <w:t xml:space="preserve">Trump v. United States</w:t>
      </w:r>
      <w:r>
        <w:t xml:space="preserve">, 603 U.S. 593, 620–21 (2024) (the President’s</w:t>
      </w:r>
      <w:r>
        <w:t xml:space="preserve"> </w:t>
      </w:r>
      <w:r>
        <w:t xml:space="preserve">“</w:t>
      </w:r>
      <w:r>
        <w:t xml:space="preserve">exclusive authority over the investigative and prosecutorial functions of the Justice Department and its officials</w:t>
      </w:r>
      <w:r>
        <w:t xml:space="preserve">”</w:t>
      </w:r>
      <w:r>
        <w:t xml:space="preserve">). For a statute regulating control of presidential records the Court asks whether it</w:t>
      </w:r>
      <w:r>
        <w:t xml:space="preserve"> </w:t>
      </w:r>
      <w:r>
        <w:t xml:space="preserve">“</w:t>
      </w:r>
      <w:r>
        <w:t xml:space="preserve">prevents the Executive Branch from accomplishing its constitutionally assigned functions</w:t>
      </w:r>
      <w:r>
        <w:t xml:space="preserve">”</w:t>
      </w:r>
      <w:r>
        <w:t xml:space="preserve"> </w:t>
      </w:r>
      <w:r>
        <w:t xml:space="preserve">and only then whether</w:t>
      </w:r>
      <w:r>
        <w:t xml:space="preserve"> </w:t>
      </w:r>
      <w:r>
        <w:t xml:space="preserve">“</w:t>
      </w:r>
      <w:r>
        <w:t xml:space="preserve">that impact is justified by an overriding need to promote objectives within the constitutional authority of Congress,</w:t>
      </w:r>
      <w:r>
        <w:t xml:space="preserve">”</w:t>
      </w:r>
      <w:r>
        <w:t xml:space="preserve"> </w:t>
      </w:r>
      <w:r>
        <w:rPr>
          <w:iCs/>
          <w:i/>
        </w:rPr>
        <w:t xml:space="preserve">Nixon v. Administrator of General Services</w:t>
      </w:r>
      <w:r>
        <w:t xml:space="preserve">, 433 U.S. 425, 443 (1977). Presidential communications carry</w:t>
      </w:r>
      <w:r>
        <w:t xml:space="preserve"> </w:t>
      </w:r>
      <w:r>
        <w:t xml:space="preserve">“</w:t>
      </w:r>
      <w:r>
        <w:t xml:space="preserve">a presumptive privilege,</w:t>
      </w:r>
      <w:r>
        <w:t xml:space="preserve">”</w:t>
      </w:r>
      <w:r>
        <w:t xml:space="preserve"> </w:t>
      </w:r>
      <w:r>
        <w:rPr>
          <w:iCs/>
          <w:i/>
        </w:rPr>
        <w:t xml:space="preserve">United States v. Nixon</w:t>
      </w:r>
      <w:r>
        <w:t xml:space="preserve">, 418 U.S. at 708; applying the presumption of</w:t>
      </w:r>
      <w:r>
        <w:t xml:space="preserve"> </w:t>
      </w:r>
      <w:r>
        <w:rPr>
          <w:iCs/>
          <w:i/>
        </w:rPr>
        <w:t xml:space="preserve">Nixon v. Sirica</w:t>
      </w:r>
      <w:r>
        <w:t xml:space="preserve">, the D.C. Circuit held on May 23, 1974 that the Senate committee had not shown the tapes</w:t>
      </w:r>
      <w:r>
        <w:t xml:space="preserve"> </w:t>
      </w:r>
      <w:r>
        <w:t xml:space="preserve">“</w:t>
      </w:r>
      <w:r>
        <w:t xml:space="preserve">demonstrably critical to the responsible fulfillment of the Committee’s functions,</w:t>
      </w:r>
      <w:r>
        <w:t xml:space="preserve">”</w:t>
      </w:r>
      <w:r>
        <w:t xml:space="preserve"> </w:t>
      </w:r>
      <w:r>
        <w:rPr>
          <w:iCs/>
          <w:i/>
        </w:rPr>
        <w:t xml:space="preserve">Senate Select Committee</w:t>
      </w:r>
      <w:r>
        <w:t xml:space="preserve">, 498 F.2d at 730–31. The Court has since distinguished those decisions as involving</w:t>
      </w:r>
      <w:r>
        <w:t xml:space="preserve"> </w:t>
      </w:r>
      <w:r>
        <w:t xml:space="preserve">“</w:t>
      </w:r>
      <w:r>
        <w:t xml:space="preserve">Oval Office communications over which the President asserted executive privilege,</w:t>
      </w:r>
      <w:r>
        <w:t xml:space="preserve">”</w:t>
      </w:r>
      <w:r>
        <w:t xml:space="preserve"> </w:t>
      </w:r>
      <w:r>
        <w:t xml:space="preserve">declined</w:t>
      </w:r>
      <w:r>
        <w:t xml:space="preserve"> </w:t>
      </w:r>
      <w:r>
        <w:t xml:space="preserve">“</w:t>
      </w:r>
      <w:r>
        <w:t xml:space="preserve">to transplant that protection root and branch to cases involving nonprivileged, private information,</w:t>
      </w:r>
      <w:r>
        <w:t xml:space="preserve">”</w:t>
      </w:r>
      <w:r>
        <w:t xml:space="preserve"> </w:t>
      </w:r>
      <w:r>
        <w:t xml:space="preserve">and set out</w:t>
      </w:r>
      <w:r>
        <w:t xml:space="preserve"> </w:t>
      </w:r>
      <w:r>
        <w:t xml:space="preserve">“</w:t>
      </w:r>
      <w:r>
        <w:t xml:space="preserve">special considerations</w:t>
      </w:r>
      <w:r>
        <w:t xml:space="preserve">”</w:t>
      </w:r>
      <w:r>
        <w:t xml:space="preserve"> </w:t>
      </w:r>
      <w:r>
        <w:t xml:space="preserve">for a congressional subpoena of the President’s personal information,</w:t>
      </w:r>
      <w:r>
        <w:t xml:space="preserve"> </w:t>
      </w:r>
      <w:r>
        <w:rPr>
          <w:iCs/>
          <w:i/>
        </w:rPr>
        <w:t xml:space="preserve">Mazars</w:t>
      </w:r>
      <w:r>
        <w:t xml:space="preserve">, slip op. at 13, 18–20. For the Department’s deliberations, a district court held that</w:t>
      </w:r>
      <w:r>
        <w:t xml:space="preserve"> </w:t>
      </w:r>
      <w:r>
        <w:t xml:space="preserve">“</w:t>
      </w:r>
      <w:r>
        <w:t xml:space="preserve">the qualified privilege invoked to shield material that the Department has already disclosed has been outweighed by a legitimate need that the Department does not dispute,</w:t>
      </w:r>
      <w:r>
        <w:t xml:space="preserve">”</w:t>
      </w:r>
      <w:r>
        <w:t xml:space="preserve"> </w:t>
      </w:r>
      <w:r>
        <w:rPr>
          <w:iCs/>
          <w:i/>
        </w:rPr>
        <w:t xml:space="preserve">Lynch</w:t>
      </w:r>
      <w:r>
        <w:t xml:space="preserve">, 156 F. Supp. 3d at 115; the Committee’s appeal was held in abeyance while</w:t>
      </w:r>
      <w:r>
        <w:t xml:space="preserve"> </w:t>
      </w:r>
      <w:r>
        <w:t xml:space="preserve">“</w:t>
      </w:r>
      <w:r>
        <w:t xml:space="preserve">settlement proceedings</w:t>
      </w:r>
      <w:r>
        <w:t xml:space="preserve">”</w:t>
      </w:r>
      <w:r>
        <w:t xml:space="preserve"> </w:t>
      </w:r>
      <w:r>
        <w:t xml:space="preserve">continued and was dismissed on its unopposed motion on May 14, 2019 (D.C. Cir. No. 16-5078).</w:t>
      </w:r>
    </w:p>
  </w:footnote>
  <w:footnote w:id="172">
    <w:p>
      <w:pPr>
        <w:pStyle w:val="FootnoteText"/>
      </w:pPr>
      <w:r>
        <w:rPr>
          <w:rStyle w:val="FootnoteReference"/>
        </w:rPr>
        <w:footnoteRef/>
      </w:r>
      <w:r>
        <w:t xml:space="preserve"> </w:t>
      </w:r>
      <w:r>
        <w:t xml:space="preserve">5 U.S.C. § 702, https://www.law.cornell.edu/uscode/text/5/702 (waiver for relief other than money damages); 28 U.S.C. § 516;</w:t>
      </w:r>
      <w:r>
        <w:t xml:space="preserve"> </w:t>
      </w:r>
      <w:r>
        <w:rPr>
          <w:iCs/>
          <w:i/>
        </w:rPr>
        <w:t xml:space="preserve">TransUnion LLC v. Ramirez</w:t>
      </w:r>
      <w:r>
        <w:t xml:space="preserve">, 594 U.S. 413 (2021), slip op. at 26 (distinguishing public-disclosure laws; no</w:t>
      </w:r>
      <w:r>
        <w:t xml:space="preserve"> </w:t>
      </w:r>
      <w:r>
        <w:t xml:space="preserve">“</w:t>
      </w:r>
      <w:r>
        <w:t xml:space="preserve">downstream consequences</w:t>
      </w:r>
      <w:r>
        <w:t xml:space="preserve">”</w:t>
      </w:r>
      <w:r>
        <w:t xml:space="preserve"> </w:t>
      </w:r>
      <w:r>
        <w:t xml:space="preserve">from failing to receive the information);</w:t>
      </w:r>
      <w:r>
        <w:t xml:space="preserve"> </w:t>
      </w:r>
      <w:r>
        <w:rPr>
          <w:iCs/>
          <w:i/>
        </w:rPr>
        <w:t xml:space="preserve">Trump v. CASA, Inc.</w:t>
      </w:r>
      <w:r>
        <w:t xml:space="preserve">, No. 24A884 (June 27, 2025), syllabus (</w:t>
      </w:r>
      <w:r>
        <w:t xml:space="preserve">“</w:t>
      </w:r>
      <w:r>
        <w:t xml:space="preserve">Universal injunctions likely exceed the equitable authority that Congress has given to federal courts</w:t>
      </w:r>
      <w:r>
        <w:t xml:space="preserve">”</w:t>
      </w:r>
      <w:r>
        <w:t xml:space="preserve">) and slip op. at 11 n.10, https://www.supremecourt.gov/opinions/24pdf/24a884_8n59.pdf;</w:t>
      </w:r>
      <w:r>
        <w:t xml:space="preserve"> </w:t>
      </w:r>
      <w:r>
        <w:rPr>
          <w:iCs/>
          <w:i/>
        </w:rPr>
        <w:t xml:space="preserve">Raines v. Byrd</w:t>
      </w:r>
      <w:r>
        <w:t xml:space="preserve">, 521 U.S. 811 (1997). These are design constraints, not assurances that any proposed plaintiff or remedy will survive.</w:t>
      </w:r>
    </w:p>
  </w:footnote>
  <w:footnote w:id="173">
    <w:p>
      <w:pPr>
        <w:pStyle w:val="FootnoteText"/>
      </w:pPr>
      <w:r>
        <w:rPr>
          <w:rStyle w:val="FootnoteReference"/>
        </w:rPr>
        <w:footnoteRef/>
      </w:r>
      <w:r>
        <w:t xml:space="preserve"> </w:t>
      </w:r>
      <w:r>
        <w:t xml:space="preserve">28 U.S.C. § 636(b)(1)(A)–(C), (b)(2) (a magistrate judge may serve</w:t>
      </w:r>
      <w:r>
        <w:t xml:space="preserve"> </w:t>
      </w:r>
      <w:r>
        <w:t xml:space="preserve">“</w:t>
      </w:r>
      <w:r>
        <w:t xml:space="preserve">as a special master pursuant to the applicable provisions of this title and the Federal Rules of Civil Procedure</w:t>
      </w:r>
      <w:r>
        <w:t xml:space="preserve">”</w:t>
      </w:r>
      <w:r>
        <w:t xml:space="preserve">), and (c)(1), https://www.law.cornell.edu/uscode/text/28/636; Fed. R. Civ. P. 53 (appointment and compensation of masters). A district judge may refer authorized matters and must review properly objected-to dispositive recommendations de novo; consent civil jurisdiction is a separate statutory route. The proposal does not presume that compulsory final adjudication can be assigned to a magistrate without those conditions.</w:t>
      </w:r>
    </w:p>
  </w:footnote>
  <w:footnote w:id="174">
    <w:p>
      <w:pPr>
        <w:pStyle w:val="FootnoteText"/>
      </w:pPr>
      <w:r>
        <w:rPr>
          <w:rStyle w:val="FootnoteReference"/>
        </w:rPr>
        <w:footnoteRef/>
      </w:r>
      <w:r>
        <w:t xml:space="preserve"> </w:t>
      </w:r>
      <w:r>
        <w:t xml:space="preserve">Analogies only: 15 U.S.C. § 78p(b) permits shareholder enforcement of short-swing-profit recovery; FCRA § 1681n permits actual or statutory damages for willful violations, while § 1681o concerns actual damages for negligent violations. Privacy Act remedies appear in 5 U.S.C. § 552a(g); a plaintiff</w:t>
      </w:r>
      <w:r>
        <w:t xml:space="preserve"> </w:t>
      </w:r>
      <w:r>
        <w:t xml:space="preserve">“</w:t>
      </w:r>
      <w:r>
        <w:t xml:space="preserve">must prove some actual damages to qualify for a minimum statutory award,</w:t>
      </w:r>
      <w:r>
        <w:t xml:space="preserve">”</w:t>
      </w:r>
      <w:r>
        <w:t xml:space="preserve"> </w:t>
      </w:r>
      <w:r>
        <w:rPr>
          <w:iCs/>
          <w:i/>
        </w:rPr>
        <w:t xml:space="preserve">Doe v. Chao</w:t>
      </w:r>
      <w:r>
        <w:t xml:space="preserve">, 540 U.S. 614, 616 (2004), and the Act</w:t>
      </w:r>
      <w:r>
        <w:t xml:space="preserve"> </w:t>
      </w:r>
      <w:r>
        <w:t xml:space="preserve">“</w:t>
      </w:r>
      <w:r>
        <w:t xml:space="preserve">does not unequivocally authorize an award of damages for mental or emotional distress,</w:t>
      </w:r>
      <w:r>
        <w:t xml:space="preserve">”</w:t>
      </w:r>
      <w:r>
        <w:t xml:space="preserve"> </w:t>
      </w:r>
      <w:r>
        <w:rPr>
          <w:iCs/>
          <w:i/>
        </w:rPr>
        <w:t xml:space="preserve">FAA v. Cooper</w:t>
      </w:r>
      <w:r>
        <w:t xml:space="preserve">, 566 U.S. 284, 304 (2012). Judgments against the United States are ordinarily paid from the permanent appropriation in 31 U.S.C. § 1304(a); for FOIA fee awards Congress barred payment from the Judgment Fund and required payment</w:t>
      </w:r>
      <w:r>
        <w:t xml:space="preserve"> </w:t>
      </w:r>
      <w:r>
        <w:t xml:space="preserve">“</w:t>
      </w:r>
      <w:r>
        <w:t xml:space="preserve">only from funds annually appropriated</w:t>
      </w:r>
      <w:r>
        <w:t xml:space="preserve">”</w:t>
      </w:r>
      <w:r>
        <w:t xml:space="preserve"> </w:t>
      </w:r>
      <w:r>
        <w:t xml:space="preserve">to the agency, OPEN Government Act of 2007, Pub. L. No. 110-175, § 4(b). Section 1983 concerns action under color of state law; § 1985 creates distinct conspiracy remedies. These mechanisms do not create an EFTA damages waiver. DOJ may still conduct federal defensive litigation under 28 U.S.C. § 516.</w:t>
      </w:r>
    </w:p>
  </w:footnote>
  <w:footnote w:id="175">
    <w:p>
      <w:pPr>
        <w:pStyle w:val="FootnoteText"/>
      </w:pPr>
      <w:r>
        <w:rPr>
          <w:rStyle w:val="FootnoteReference"/>
        </w:rPr>
        <w:footnoteRef/>
      </w:r>
      <w:r>
        <w:t xml:space="preserve"> </w:t>
      </w:r>
      <w:r>
        <w:t xml:space="preserve">Clean Air Act § 304, 42 U.S.C. § 7604; Endangered Species Act § 11(g), 16 U.S.C. § 1540(g); Clean Water Act § 505, 33 U.S.C. § 1365; Resource Conservation and Recovery Act § 7002, 42 U.S.C. § 6972; Comprehensive Environmental Response, Compensation, and Liability Act § 310, 42 U.S.C. § 9659. These provisions authorize citizen enforcement subject to their respective jurisdictional and notice conditions; suits to compel non-discretionary agency duties supply the closest analogy for Proposal 1’s access-review remedy. Private initiation does not exclude DOJ participation in federal litigation under 28 U.S.C. § 516. A citizen-suit provision does not dispense with a concrete injury,</w:t>
      </w:r>
      <w:r>
        <w:t xml:space="preserve"> </w:t>
      </w:r>
      <w:r>
        <w:rPr>
          <w:iCs/>
          <w:i/>
        </w:rPr>
        <w:t xml:space="preserve">Lujan v. Defenders of Wildlife</w:t>
      </w:r>
      <w:r>
        <w:t xml:space="preserve">, 504 U.S. 555 (1992). Proposal 1 contains no damages component; Proposal 3 separately identifies the waiver and payment authority that damages would require.</w:t>
      </w:r>
    </w:p>
  </w:footnote>
  <w:footnote w:id="176">
    <w:p>
      <w:pPr>
        <w:pStyle w:val="FootnoteText"/>
      </w:pPr>
      <w:r>
        <w:rPr>
          <w:rStyle w:val="FootnoteReference"/>
        </w:rPr>
        <w:footnoteRef/>
      </w:r>
      <w:r>
        <w:t xml:space="preserve"> </w:t>
      </w:r>
      <w:r>
        <w:rPr>
          <w:iCs/>
          <w:i/>
        </w:rPr>
        <w:t xml:space="preserve">Vaughn v. Rosen</w:t>
      </w:r>
      <w:r>
        <w:t xml:space="preserve">, 484 F.2d 820 (D.C. Cir. 1973), establishes the modern Freedom-of-Information Act practice of requiring an agency claiming exemption to produce an itemized index correlating specific portions of withheld material to specific exemptions and supplying segregability analysis subject to adversarial review. Proposal 2 applies the</w:t>
      </w:r>
      <w:r>
        <w:t xml:space="preserve"> </w:t>
      </w:r>
      <w:r>
        <w:rPr>
          <w:iCs/>
          <w:i/>
        </w:rPr>
        <w:t xml:space="preserve">Vaughn</w:t>
      </w:r>
      <w:r>
        <w:t xml:space="preserve"> </w:t>
      </w:r>
      <w:r>
        <w:t xml:space="preserve">architecture to the proposed EFTA access-review scheme (extension to other statutes is reserved for later design), with protected review by the district court and magistrate assistance only through a valid 28 U.S.C. § 636 referral. Agency custody of records and DOJ participation in litigation remain dependencies; the analogy does not create an autonomous review institution.</w:t>
      </w:r>
    </w:p>
  </w:footnote>
  <w:footnote w:id="177">
    <w:p>
      <w:pPr>
        <w:pStyle w:val="FootnoteText"/>
      </w:pPr>
      <w:r>
        <w:rPr>
          <w:rStyle w:val="FootnoteReference"/>
        </w:rPr>
        <w:footnoteRef/>
      </w:r>
      <w:r>
        <w:t xml:space="preserve"> </w:t>
      </w:r>
      <w:r>
        <w:t xml:space="preserve">Sarbanes-Oxley Act of 2002, Pub. L. No. 107-204, 116 Stat. 745; § 404 (internal-controls auditing); § 101 et seq. (Public Company Accounting Oversight Board). The SOX/PCAOB architecture supplies a limited analogy for compliance auditing and reporting; 15 U.S.C. § 7211(h) routes the Board’s annual report through the SEC to Congress. Proposal 4 would require its own appointment, access, preservation, budget, and enforcement provisions for executive-agency records. The analogy establishes neither automatic independence from executive supervision nor access to federal secrets. The Comptroller General is an officer of the legislative branch,</w:t>
      </w:r>
      <w:r>
        <w:t xml:space="preserve"> </w:t>
      </w:r>
      <w:r>
        <w:rPr>
          <w:iCs/>
          <w:i/>
        </w:rPr>
        <w:t xml:space="preserve">Bowsher v. Synar</w:t>
      </w:r>
      <w:r>
        <w:t xml:space="preserve">, 478 U.S. 714 (1986); his civil action for records is barred when the President or the Director of the Office of Management and Budget certifies that a record could be withheld under 5 U.S.C. § 552(b)(5) or (7) and that disclosure</w:t>
      </w:r>
      <w:r>
        <w:t xml:space="preserve"> </w:t>
      </w:r>
      <w:r>
        <w:t xml:space="preserve">“</w:t>
      </w:r>
      <w:r>
        <w:t xml:space="preserve">reasonably could be expected to impair substantially the operations of the Government,</w:t>
      </w:r>
      <w:r>
        <w:t xml:space="preserve">”</w:t>
      </w:r>
      <w:r>
        <w:t xml:space="preserve"> </w:t>
      </w:r>
      <w:r>
        <w:t xml:space="preserve">31 U.S.C. § 716(d)(1)(C). When the Comptroller General sued the Vice President for energy task-force records, the suit was dismissed because he</w:t>
      </w:r>
      <w:r>
        <w:t xml:space="preserve"> </w:t>
      </w:r>
      <w:r>
        <w:t xml:space="preserve">“</w:t>
      </w:r>
      <w:r>
        <w:t xml:space="preserve">does not have the personal, concrete, and particularized injury required under Article III standing doctrine, either himself or as the agent of Congress,</w:t>
      </w:r>
      <w:r>
        <w:t xml:space="preserve">”</w:t>
      </w:r>
      <w:r>
        <w:t xml:space="preserve"> </w:t>
      </w:r>
      <w:r>
        <w:rPr>
          <w:iCs/>
          <w:i/>
        </w:rPr>
        <w:t xml:space="preserve">Walker v. Cheney</w:t>
      </w:r>
      <w:r>
        <w:t xml:space="preserve">, 230 F. Supp. 2d 51, 53 (D.D.C. 2002). The Attorney General</w:t>
      </w:r>
      <w:r>
        <w:t xml:space="preserve"> </w:t>
      </w:r>
      <w:r>
        <w:t xml:space="preserve">“</w:t>
      </w:r>
      <w:r>
        <w:t xml:space="preserve">may prohibit the Inspector General from carrying out or completing any audit or investigation</w:t>
      </w:r>
      <w:r>
        <w:t xml:space="preserve">”</w:t>
      </w:r>
      <w:r>
        <w:t xml:space="preserve"> </w:t>
      </w:r>
      <w:r>
        <w:t xml:space="preserve">concerning specified sensitive information, 5 U.S.C. § 413(a).</w:t>
      </w:r>
    </w:p>
  </w:footnote>
  <w:footnote w:id="178">
    <w:p>
      <w:pPr>
        <w:pStyle w:val="FootnoteText"/>
      </w:pPr>
      <w:r>
        <w:rPr>
          <w:rStyle w:val="FootnoteReference"/>
        </w:rPr>
        <w:footnoteRef/>
      </w:r>
      <w:r>
        <w:t xml:space="preserve"> </w:t>
      </w:r>
      <w:r>
        <w:rPr>
          <w:iCs/>
          <w:i/>
        </w:rPr>
        <w:t xml:space="preserve">Trump v. Slaughter</w:t>
      </w:r>
      <w:r>
        <w:t xml:space="preserve">, No. 25-332, 609 U.S. ___ (June 29, 2026), slip op. at 21 (</w:t>
      </w:r>
      <w:r>
        <w:t xml:space="preserve">“</w:t>
      </w:r>
      <w:r>
        <w:t xml:space="preserve">If Congress wishes to establish independent agencies to assist it with its functions, it may do so</w:t>
      </w:r>
      <w:r>
        <w:t xml:space="preserve">”</w:t>
      </w:r>
      <w:r>
        <w:t xml:space="preserve">) and 27–28 (Part III-B;</w:t>
      </w:r>
      <w:r>
        <w:t xml:space="preserve"> </w:t>
      </w:r>
      <w:r>
        <w:t xml:space="preserve">“</w:t>
      </w:r>
      <w:r>
        <w:t xml:space="preserve">Nor do we determine the fate of officials not before us</w:t>
      </w:r>
      <w:r>
        <w:t xml:space="preserve">”</w:t>
      </w:r>
      <w:r>
        <w:t xml:space="preserve">), https://www.supremecourt.gov/opinions/25pdf/25-332_new_geil.pdf. The reasoning places for-cause inspector-general protection in doubt without deciding it; application requires an office-specific analysis.</w:t>
      </w:r>
    </w:p>
  </w:footnote>
  <w:footnote w:id="179">
    <w:p>
      <w:pPr>
        <w:pStyle w:val="FootnoteText"/>
      </w:pPr>
      <w:r>
        <w:rPr>
          <w:rStyle w:val="FootnoteReference"/>
        </w:rPr>
        <w:footnoteRef/>
      </w:r>
      <w:r>
        <w:t xml:space="preserve"> </w:t>
      </w:r>
      <w:r>
        <w:t xml:space="preserve">5 U.S.C. §§ 403 (written reasons for removal of an inspector general, communicated to both Houses not later than 30 days before removal) and 416(b)–(g); 50 U.S.C. §§ 3033(k)(5)(F) and 3517(d)(5)(F) (urgent-concern actions</w:t>
      </w:r>
      <w:r>
        <w:t xml:space="preserve"> </w:t>
      </w:r>
      <w:r>
        <w:t xml:space="preserve">“</w:t>
      </w:r>
      <w:r>
        <w:t xml:space="preserve">shall not be subject to judicial review</w:t>
      </w:r>
      <w:r>
        <w:t xml:space="preserve">”</w:t>
      </w:r>
      <w:r>
        <w:t xml:space="preserve">); § 3234 (reprisal protections; under § 3234(f)</w:t>
      </w:r>
      <w:r>
        <w:t xml:space="preserve"> </w:t>
      </w:r>
      <w:r>
        <w:t xml:space="preserve">“</w:t>
      </w:r>
      <w:r>
        <w:t xml:space="preserve">The President shall provide for the enforcement of this section</w:t>
      </w:r>
      <w:r>
        <w:t xml:space="preserve">”</w:t>
      </w:r>
      <w:r>
        <w:t xml:space="preserve">); § 3341(j) (security-clearance reprisal; § 3341(j)(6) denies judicial review); § 3236 (external review panel).</w:t>
      </w:r>
      <w:r>
        <w:t xml:space="preserve"> </w:t>
      </w:r>
      <w:r>
        <w:rPr>
          <w:iCs/>
          <w:i/>
        </w:rPr>
        <w:t xml:space="preserve">Free Enterprise Fund v. PCAOB</w:t>
      </w:r>
      <w:r>
        <w:t xml:space="preserve">, 561 U.S. 477 (2010), and</w:t>
      </w:r>
      <w:r>
        <w:t xml:space="preserve"> </w:t>
      </w:r>
      <w:r>
        <w:rPr>
          <w:iCs/>
          <w:i/>
        </w:rPr>
        <w:t xml:space="preserve">Seila Law LLC v. CFPB</w:t>
      </w:r>
      <w:r>
        <w:t xml:space="preserve">, 591 U.S. 197 (2020), must now be read with</w:t>
      </w:r>
      <w:r>
        <w:t xml:space="preserve"> </w:t>
      </w:r>
      <w:r>
        <w:rPr>
          <w:iCs/>
          <w:i/>
        </w:rPr>
        <w:t xml:space="preserve">Trump v. Slaughter</w:t>
      </w:r>
      <w:r>
        <w:t xml:space="preserve"> </w:t>
      </w:r>
      <w:r>
        <w:t xml:space="preserve">(2026); an IG for-cause shield is a contested proposal, not a safe single-layer exception.</w:t>
      </w:r>
    </w:p>
  </w:footnote>
  <w:footnote w:id="180">
    <w:p>
      <w:pPr>
        <w:pStyle w:val="FootnoteText"/>
      </w:pPr>
      <w:r>
        <w:rPr>
          <w:rStyle w:val="FootnoteReference"/>
        </w:rPr>
        <w:footnoteRef/>
      </w:r>
      <w:r>
        <w:t xml:space="preserve"> </w:t>
      </w:r>
      <w:r>
        <w:t xml:space="preserve">Statute: 5 U.S.C. § 416(g), https://uscode.house.gov/view.xhtml?req=granuleid:USC-prelim-title5-section416&amp;num=0&amp;edition=prelim. Inspector-general removals: Congressional Research Service,</w:t>
      </w:r>
      <w:r>
        <w:t xml:space="preserve"> </w:t>
      </w:r>
      <w:r>
        <w:rPr>
          <w:iCs/>
          <w:i/>
        </w:rPr>
        <w:t xml:space="preserve">Removal of Inspectors General: Rules, Practice, and Considerations for Congress</w:t>
      </w:r>
      <w:r>
        <w:t xml:space="preserve">, IF11546, updated January 27, 2025, pp. 1–2, https://www.congress.gov/crs_external_products/IF/PDF/IF11546/IF11546.9.pdf (current notice-and-reasons protection, advance notice for the 2020 removals, and the January 24, 2025 dismissals without the required notice).</w:t>
      </w:r>
    </w:p>
  </w:footnote>
  <w:footnote w:id="181">
    <w:p>
      <w:pPr>
        <w:pStyle w:val="FootnoteText"/>
      </w:pPr>
      <w:r>
        <w:rPr>
          <w:rStyle w:val="FootnoteReference"/>
        </w:rPr>
        <w:footnoteRef/>
      </w:r>
      <w:r>
        <w:t xml:space="preserve"> </w:t>
      </w:r>
      <w:r>
        <w:t xml:space="preserve">Congressional Subpoena Compliance and Enforcement Act of 2017, H.R. 4010, 115th Cong. (engrossed in the House; passed October 23, 2017), https://www.govinfo.gov/content/pkg/BILLS-115hr4010eh/html/BILLS-115hr4010eh.htm, proposing 28 U.S.C. § 1365a: rules for</w:t>
      </w:r>
      <w:r>
        <w:t xml:space="preserve"> </w:t>
      </w:r>
      <w:r>
        <w:t xml:space="preserve">“</w:t>
      </w:r>
      <w:r>
        <w:t xml:space="preserve">any civil action brought by the United States House of Representatives, the United States Senate, or a committee or subcommittee thereof,</w:t>
      </w:r>
      <w:r>
        <w:t xml:space="preserve">”</w:t>
      </w:r>
      <w:r>
        <w:t xml:space="preserve"> </w:t>
      </w:r>
      <w:r>
        <w:t xml:space="preserve">which</w:t>
      </w:r>
      <w:r>
        <w:t xml:space="preserve"> </w:t>
      </w:r>
      <w:r>
        <w:t xml:space="preserve">“</w:t>
      </w:r>
      <w:r>
        <w:t xml:space="preserve">shall be filed in a United States district court of competent jurisdiction</w:t>
      </w:r>
      <w:r>
        <w:t xml:space="preserve">”</w:t>
      </w:r>
      <w:r>
        <w:t xml:space="preserve"> </w:t>
      </w:r>
      <w:r>
        <w:t xml:space="preserve">((a)(1)); a duty</w:t>
      </w:r>
      <w:r>
        <w:t xml:space="preserve"> </w:t>
      </w:r>
      <w:r>
        <w:t xml:space="preserve">“</w:t>
      </w:r>
      <w:r>
        <w:t xml:space="preserve">to advance on the docket and to expedite to the greatest possible extent the disposition of any such action and appeal</w:t>
      </w:r>
      <w:r>
        <w:t xml:space="preserve">”</w:t>
      </w:r>
      <w:r>
        <w:t xml:space="preserve"> </w:t>
      </w:r>
      <w:r>
        <w:t xml:space="preserve">((a)(2)), a clause of the kind Table C.4 calls hortatory; a three-judge court if</w:t>
      </w:r>
      <w:r>
        <w:t xml:space="preserve"> </w:t>
      </w:r>
      <w:r>
        <w:t xml:space="preserve">“</w:t>
      </w:r>
      <w:r>
        <w:t xml:space="preserve">expressly requested by the plaintiff in the initial pleading,</w:t>
      </w:r>
      <w:r>
        <w:t xml:space="preserve">”</w:t>
      </w:r>
      <w:r>
        <w:t xml:space="preserve"> </w:t>
      </w:r>
      <w:r>
        <w:t xml:space="preserve">which</w:t>
      </w:r>
      <w:r>
        <w:t xml:space="preserve"> </w:t>
      </w:r>
      <w:r>
        <w:t xml:space="preserve">“</w:t>
      </w:r>
      <w:r>
        <w:t xml:space="preserve">shall be reviewable only by appeal directly to the Supreme Court,</w:t>
      </w:r>
      <w:r>
        <w:t xml:space="preserve">”</w:t>
      </w:r>
      <w:r>
        <w:t xml:space="preserve"> </w:t>
      </w:r>
      <w:r>
        <w:t xml:space="preserve">with notice of appeal</w:t>
      </w:r>
      <w:r>
        <w:t xml:space="preserve"> </w:t>
      </w:r>
      <w:r>
        <w:t xml:space="preserve">“</w:t>
      </w:r>
      <w:r>
        <w:t xml:space="preserve">within 10 days</w:t>
      </w:r>
      <w:r>
        <w:t xml:space="preserve">”</w:t>
      </w:r>
      <w:r>
        <w:t xml:space="preserve"> </w:t>
      </w:r>
      <w:r>
        <w:t xml:space="preserve">((a)(3)); penalties</w:t>
      </w:r>
      <w:r>
        <w:t xml:space="preserve"> </w:t>
      </w:r>
      <w:r>
        <w:t xml:space="preserve">“</w:t>
      </w:r>
      <w:r>
        <w:t xml:space="preserve">directly against the head of a Government agency or a component thereof held to have willfully failed to comply,</w:t>
      </w:r>
      <w:r>
        <w:t xml:space="preserve">”</w:t>
      </w:r>
      <w:r>
        <w:t xml:space="preserve"> </w:t>
      </w:r>
      <w:r>
        <w:t xml:space="preserve">with no appropriated or other Government funds to be used to pay them ((b)); and a privilege or other ground</w:t>
      </w:r>
      <w:r>
        <w:t xml:space="preserve"> </w:t>
      </w:r>
      <w:r>
        <w:t xml:space="preserve">“</w:t>
      </w:r>
      <w:r>
        <w:t xml:space="preserve">(whether statutory, common law, or otherwise)</w:t>
      </w:r>
      <w:r>
        <w:t xml:space="preserve">”</w:t>
      </w:r>
      <w:r>
        <w:t xml:space="preserve"> </w:t>
      </w:r>
      <w:r>
        <w:t xml:space="preserve">that</w:t>
      </w:r>
      <w:r>
        <w:t xml:space="preserve"> </w:t>
      </w:r>
      <w:r>
        <w:t xml:space="preserve">“</w:t>
      </w:r>
      <w:r>
        <w:t xml:space="preserve">may be determined to have been waived</w:t>
      </w:r>
      <w:r>
        <w:t xml:space="preserve">”</w:t>
      </w:r>
      <w:r>
        <w:t xml:space="preserve"> </w:t>
      </w:r>
      <w:r>
        <w:t xml:space="preserve">for a record not covered by a timely privilege log ((c)), the log that a new section 105 of the Revised Statutes would require of a recipient withholding a record, which</w:t>
      </w:r>
      <w:r>
        <w:t xml:space="preserve"> </w:t>
      </w:r>
      <w:r>
        <w:t xml:space="preserve">“</w:t>
      </w:r>
      <w:r>
        <w:t xml:space="preserve">shall provide a log</w:t>
      </w:r>
      <w:r>
        <w:t xml:space="preserve">”</w:t>
      </w:r>
      <w:r>
        <w:t xml:space="preserve"> </w:t>
      </w:r>
      <w:r>
        <w:t xml:space="preserve">stating</w:t>
      </w:r>
      <w:r>
        <w:t xml:space="preserve"> </w:t>
      </w:r>
      <w:r>
        <w:t xml:space="preserve">“</w:t>
      </w:r>
      <w:r>
        <w:t xml:space="preserve">An express assertion and description of the legal basis asserted for withholding the record</w:t>
      </w:r>
      <w:r>
        <w:t xml:space="preserve">”</w:t>
      </w:r>
      <w:r>
        <w:t xml:space="preserve"> </w:t>
      </w:r>
      <w:r>
        <w:t xml:space="preserve">(bill § 3). A statute confining that waiver would also have to say who decides, and at what stage, whether a ground is constitutionally based (for example, only on the President’s personal assertion, subject to a judicial determination); whether an untimely log forfeits that characterization; and what standard governs statutory and common-law objections, the grounds a statute can fully govern. The bill grants neither a cause of action nor jurisdiction and does not amend 28 U.S.C. § 1365(a). A Senate suit requires</w:t>
      </w:r>
      <w:r>
        <w:t xml:space="preserve"> </w:t>
      </w:r>
      <w:r>
        <w:t xml:space="preserve">“</w:t>
      </w:r>
      <w:r>
        <w:t xml:space="preserve">the adoption of a resolution by the Senate,</w:t>
      </w:r>
      <w:r>
        <w:t xml:space="preserve">”</w:t>
      </w:r>
      <w:r>
        <w:t xml:space="preserve"> </w:t>
      </w:r>
      <w:r>
        <w:t xml:space="preserve">2 U.S.C. § 288b(b). Neither § 288b nor § 288d limits that resolution’s debate. It is ordinarily debatable and exposed to a filibuster; if opponents sustain debate, cloture requires</w:t>
      </w:r>
      <w:r>
        <w:t xml:space="preserve"> </w:t>
      </w:r>
      <w:r>
        <w:t xml:space="preserve">“</w:t>
      </w:r>
      <w:r>
        <w:t xml:space="preserve">three-fifths of the Senators duly chosen and sworn</w:t>
      </w:r>
      <w:r>
        <w:t xml:space="preserve">”</w:t>
      </w:r>
      <w:r>
        <w:t xml:space="preserve"> </w:t>
      </w:r>
      <w:r>
        <w:t xml:space="preserve">(Standing Rules of the Senate, Rule XXII ¶ 2, S. Doc. No. 113-18 (2013), 16); a resolution directing suit</w:t>
      </w:r>
      <w:r>
        <w:t xml:space="preserve"> </w:t>
      </w:r>
      <w:r>
        <w:t xml:space="preserve">“</w:t>
      </w:r>
      <w:r>
        <w:t xml:space="preserve">in the name of a committee or subcommittee</w:t>
      </w:r>
      <w:r>
        <w:t xml:space="preserve">”</w:t>
      </w:r>
      <w:r>
        <w:t xml:space="preserve"> </w:t>
      </w:r>
      <w:r>
        <w:t xml:space="preserve">is out of order unless that committee reports it with four statements (§ 288d(c)). Privilege of consideration alone does not limit debate. An expedited procedure would need to specify treatment of the motion to proceed, debate on the resolution, amendments, and procedural appeals. On the merits and the courts’ preference for settlement: Garvey, CRS Report R45653, pp. 22–23 (lower courts</w:t>
      </w:r>
      <w:r>
        <w:t xml:space="preserve"> </w:t>
      </w:r>
      <w:r>
        <w:t xml:space="preserve">“</w:t>
      </w:r>
      <w:r>
        <w:t xml:space="preserve">have suggested that judicial intervention in such disputes</w:t>
      </w:r>
      <w:r>
        <w:t xml:space="preserve"> </w:t>
      </w:r>
      <w:r>
        <w:t xml:space="preserve">‘</w:t>
      </w:r>
      <w:r>
        <w:t xml:space="preserve">should be delayed until all possibilities for settlement have been exhausted</w:t>
      </w:r>
      <w:r>
        <w:t xml:space="preserve">’</w:t>
      </w:r>
      <w:r>
        <w:t xml:space="preserve">”</w:t>
      </w:r>
      <w:r>
        <w:t xml:space="preserve">; a committee may overcome the presumptive privilege by showing</w:t>
      </w:r>
      <w:r>
        <w:t xml:space="preserve"> </w:t>
      </w:r>
      <w:r>
        <w:t xml:space="preserve">“</w:t>
      </w:r>
      <w:r>
        <w:t xml:space="preserve">the subpoenaed evidence is demonstrably critical to the responsible fulfillment of the Committee’s function</w:t>
      </w:r>
      <w:r>
        <w:t xml:space="preserve">”</w:t>
      </w:r>
      <w:r>
        <w:t xml:space="preserve">);</w:t>
      </w:r>
      <w:r>
        <w:t xml:space="preserve"> </w:t>
      </w:r>
      <w:r>
        <w:rPr>
          <w:iCs/>
          <w:i/>
        </w:rPr>
        <w:t xml:space="preserve">United States v. Nixon</w:t>
      </w:r>
      <w:r>
        <w:t xml:space="preserve">, 418 U.S. at 708, 712 n.19. For the House authorization models, the Lee text of January 21, 2026 and H. Res. 430, 116th Cong. (2019) (a committee chair,</w:t>
      </w:r>
      <w:r>
        <w:t xml:space="preserve"> </w:t>
      </w:r>
      <w:r>
        <w:t xml:space="preserve">“</w:t>
      </w:r>
      <w:r>
        <w:t xml:space="preserve">when authorized by the Bipartisan Legal Advisory Group,</w:t>
      </w:r>
      <w:r>
        <w:t xml:space="preserve">”</w:t>
      </w:r>
      <w:r>
        <w:t xml:space="preserve"> </w:t>
      </w:r>
      <w:r>
        <w:t xml:space="preserve">may initiate judicial proceedings). On penalties for an official following a presidential instruction, 8 Op. O.L.C. at 137 (Appendix C, Table C.3) (objecting to</w:t>
      </w:r>
      <w:r>
        <w:t xml:space="preserve"> </w:t>
      </w:r>
      <w:r>
        <w:t xml:space="preserve">“</w:t>
      </w:r>
      <w:r>
        <w:t xml:space="preserve">inflicting punishment on an individual who failed to produce them</w:t>
      </w:r>
      <w:r>
        <w:t xml:space="preserve">”</w:t>
      </w:r>
      <w:r>
        <w:t xml:space="preserve">). The same opinion supports the civil route: Congress</w:t>
      </w:r>
      <w:r>
        <w:t xml:space="preserve"> </w:t>
      </w:r>
      <w:r>
        <w:t xml:space="preserve">“</w:t>
      </w:r>
      <w:r>
        <w:t xml:space="preserve">could obtain a judicial resolution of the underlying privilege claim and vindicate its asserted right to obtain any documents by a civil action for enforcement of a congressional subpoena,</w:t>
      </w:r>
      <w:r>
        <w:t xml:space="preserve">”</w:t>
      </w:r>
      <w:r>
        <w:t xml:space="preserve"> </w:t>
      </w:r>
      <w:r>
        <w:t xml:space="preserve">prevailing</w:t>
      </w:r>
      <w:r>
        <w:t xml:space="preserve"> </w:t>
      </w:r>
      <w:r>
        <w:t xml:space="preserve">“</w:t>
      </w:r>
      <w:r>
        <w:t xml:space="preserve">if it could establish that its need for the records outweighed the Executive’s interest in preserving confidentiality</w:t>
      </w:r>
      <w:r>
        <w:t xml:space="preserve">”</w:t>
      </w:r>
      <w:r>
        <w:t xml:space="preserve"> </w:t>
      </w:r>
      <w:r>
        <w:t xml:space="preserve">(id. at 137), and</w:t>
      </w:r>
      <w:r>
        <w:t xml:space="preserve"> </w:t>
      </w:r>
      <w:r>
        <w:t xml:space="preserve">“</w:t>
      </w:r>
      <w:r>
        <w:t xml:space="preserve">there is little doubt that, at the very least, Congress may authorize civil enforcement of its subpoenas and grant jurisdiction to the courts to entertain such cases</w:t>
      </w:r>
      <w:r>
        <w:t xml:space="preserve">”</w:t>
      </w:r>
      <w:r>
        <w:t xml:space="preserve"> </w:t>
      </w:r>
      <w:r>
        <w:t xml:space="preserve">(id. at 137 n.36). The Department later contested such suits: in</w:t>
      </w:r>
      <w:r>
        <w:t xml:space="preserve"> </w:t>
      </w:r>
      <w:r>
        <w:rPr>
          <w:iCs/>
          <w:i/>
        </w:rPr>
        <w:t xml:space="preserve">Miers</w:t>
      </w:r>
      <w:r>
        <w:t xml:space="preserve"> </w:t>
      </w:r>
      <w:r>
        <w:t xml:space="preserve">the executive moved to dismiss</w:t>
      </w:r>
      <w:r>
        <w:t xml:space="preserve"> </w:t>
      </w:r>
      <w:r>
        <w:t xml:space="preserve">“</w:t>
      </w:r>
      <w:r>
        <w:t xml:space="preserve">on the grounds that the Committee lacks standing and a proper cause of action, that disputes of this kind are non-justiciable</w:t>
      </w:r>
      <w:r>
        <w:t xml:space="preserve">”</w:t>
      </w:r>
      <w:r>
        <w:t xml:space="preserve"> </w:t>
      </w:r>
      <w:r>
        <w:t xml:space="preserve">(memorandum opinion of July 31, 2008, 1–2); in</w:t>
      </w:r>
      <w:r>
        <w:t xml:space="preserve"> </w:t>
      </w:r>
      <w:r>
        <w:rPr>
          <w:iCs/>
          <w:i/>
        </w:rPr>
        <w:t xml:space="preserve">Holder</w:t>
      </w:r>
      <w:r>
        <w:t xml:space="preserve"> </w:t>
      </w:r>
      <w:r>
        <w:t xml:space="preserve">the Attorney General took</w:t>
      </w:r>
      <w:r>
        <w:t xml:space="preserve"> </w:t>
      </w:r>
      <w:r>
        <w:t xml:space="preserve">“</w:t>
      </w:r>
      <w:r>
        <w:t xml:space="preserve">the position that a dispute between the legislative and executive branches must be resolved through negotiation and accommodation, and that the judiciary may not, or at least, should not, get involved</w:t>
      </w:r>
      <w:r>
        <w:t xml:space="preserve">”</w:t>
      </w:r>
      <w:r>
        <w:t xml:space="preserve"> </w:t>
      </w:r>
      <w:r>
        <w:t xml:space="preserve">(memorandum opinion, 1); and in the</w:t>
      </w:r>
      <w:r>
        <w:t xml:space="preserve"> </w:t>
      </w:r>
      <w:r>
        <w:rPr>
          <w:iCs/>
          <w:i/>
        </w:rPr>
        <w:t xml:space="preserve">Holder</w:t>
      </w:r>
      <w:r>
        <w:t xml:space="preserve"> </w:t>
      </w:r>
      <w:r>
        <w:t xml:space="preserve">appeal,</w:t>
      </w:r>
      <w:r>
        <w:t xml:space="preserve"> </w:t>
      </w:r>
      <w:r>
        <w:t xml:space="preserve">“</w:t>
      </w:r>
      <w:r>
        <w:t xml:space="preserve">In the event the Circuit decided to hear the matter on the merits, the Department also reasserted the jurisdictional arguments based on standing and separation of powers</w:t>
      </w:r>
      <w:r>
        <w:t xml:space="preserve">”</w:t>
      </w:r>
      <w:r>
        <w:t xml:space="preserve"> </w:t>
      </w:r>
      <w:r>
        <w:t xml:space="preserve">(</w:t>
      </w:r>
      <w:r>
        <w:rPr>
          <w:iCs/>
          <w:i/>
        </w:rPr>
        <w:t xml:space="preserve">Sessions</w:t>
      </w:r>
      <w:r>
        <w:t xml:space="preserve">, opinion of October 22, 2018, 9).</w:t>
      </w:r>
    </w:p>
  </w:footnote>
  <w:footnote w:id="182">
    <w:p>
      <w:pPr>
        <w:pStyle w:val="FootnoteText"/>
      </w:pPr>
      <w:r>
        <w:rPr>
          <w:rStyle w:val="FootnoteReference"/>
        </w:rPr>
        <w:footnoteRef/>
      </w:r>
      <w:r>
        <w:t xml:space="preserve"> </w:t>
      </w:r>
      <w:r>
        <w:t xml:space="preserve">The EFTA II bills’ access routes would reach victim material. A State attorney general, district attorney, or</w:t>
      </w:r>
      <w:r>
        <w:t xml:space="preserve"> </w:t>
      </w:r>
      <w:r>
        <w:t xml:space="preserve">“</w:t>
      </w:r>
      <w:r>
        <w:t xml:space="preserve">other authorized State officer</w:t>
      </w:r>
      <w:r>
        <w:t xml:space="preserve">”</w:t>
      </w:r>
      <w:r>
        <w:t xml:space="preserve"> </w:t>
      </w:r>
      <w:r>
        <w:t xml:space="preserve">conducting an investigation or proceeding would receive</w:t>
      </w:r>
      <w:r>
        <w:t xml:space="preserve"> </w:t>
      </w:r>
      <w:r>
        <w:t xml:space="preserve">“</w:t>
      </w:r>
      <w:r>
        <w:t xml:space="preserve">full, unredacted access to, and copies of,</w:t>
      </w:r>
      <w:r>
        <w:t xml:space="preserve">”</w:t>
      </w:r>
      <w:r>
        <w:t xml:space="preserve"> </w:t>
      </w:r>
      <w:r>
        <w:t xml:space="preserve">records the Act permits to be withheld under § 2(c)(1) (H.R. 9694, § 4(c)(1)), subject to</w:t>
      </w:r>
      <w:r>
        <w:t xml:space="preserve"> </w:t>
      </w:r>
      <w:r>
        <w:t xml:space="preserve">“</w:t>
      </w:r>
      <w:r>
        <w:t xml:space="preserve">any protective order entered by a court to protect the personally identifiable information of victims</w:t>
      </w:r>
      <w:r>
        <w:t xml:space="preserve">”</w:t>
      </w:r>
      <w:r>
        <w:t xml:space="preserve"> </w:t>
      </w:r>
      <w:r>
        <w:t xml:space="preserve">(§ 4(c)(2)) and to filing under seal unless a court finds public disclosure lawful and non-identifying (§ 4(c)(3)), but production</w:t>
      </w:r>
      <w:r>
        <w:t xml:space="preserve"> </w:t>
      </w:r>
      <w:r>
        <w:t xml:space="preserve">“</w:t>
      </w:r>
      <w:r>
        <w:t xml:space="preserve">shall not be limited to in camera review,</w:t>
      </w:r>
      <w:r>
        <w:t xml:space="preserve">”</w:t>
      </w:r>
      <w:r>
        <w:t xml:space="preserve"> </w:t>
      </w:r>
      <w:r>
        <w:t xml:space="preserve">and no protective order may prohibit the officer</w:t>
      </w:r>
      <w:r>
        <w:t xml:space="preserve"> </w:t>
      </w:r>
      <w:r>
        <w:t xml:space="preserve">“</w:t>
      </w:r>
      <w:r>
        <w:t xml:space="preserve">from possessing or using the records as necessary for an investigation or judicial proceeding</w:t>
      </w:r>
      <w:r>
        <w:t xml:space="preserve">”</w:t>
      </w:r>
      <w:r>
        <w:t xml:space="preserve"> </w:t>
      </w:r>
      <w:r>
        <w:t xml:space="preserve">(§ 4(c)(4)). A Member’s access applies</w:t>
      </w:r>
      <w:r>
        <w:t xml:space="preserve"> </w:t>
      </w:r>
      <w:r>
        <w:t xml:space="preserve">“</w:t>
      </w:r>
      <w:r>
        <w:t xml:space="preserve">Notwithstanding section 2(c) or any other provision of law</w:t>
      </w:r>
      <w:r>
        <w:t xml:space="preserve">”</w:t>
      </w:r>
      <w:r>
        <w:t xml:space="preserve"> </w:t>
      </w:r>
      <w:r>
        <w:t xml:space="preserve">(§ 4(e)(1)(A)). Child sexual abuse material is described in the Act itself as</w:t>
      </w:r>
      <w:r>
        <w:t xml:space="preserve"> </w:t>
      </w:r>
      <w:r>
        <w:t xml:space="preserve">“</w:t>
      </w:r>
      <w:r>
        <w:t xml:space="preserve">prohibited under 18 U.S.C. 2252–2252A</w:t>
      </w:r>
      <w:r>
        <w:t xml:space="preserve">”</w:t>
      </w:r>
      <w:r>
        <w:t xml:space="preserve"> </w:t>
      </w:r>
      <w:r>
        <w:t xml:space="preserve">(§ 2(c)(1)(B)), statutes that bar its distribution whatever the permissive</w:t>
      </w:r>
      <w:r>
        <w:t xml:space="preserve"> </w:t>
      </w:r>
      <w:r>
        <w:t xml:space="preserve">“</w:t>
      </w:r>
      <w:r>
        <w:t xml:space="preserve">may</w:t>
      </w:r>
      <w:r>
        <w:t xml:space="preserve">”</w:t>
      </w:r>
      <w:r>
        <w:t xml:space="preserve"> </w:t>
      </w:r>
      <w:r>
        <w:t xml:space="preserve">in § 2(c)(1). On its text, § 4(e)(1)(A)’s</w:t>
      </w:r>
      <w:r>
        <w:t xml:space="preserve"> </w:t>
      </w:r>
      <w:r>
        <w:t xml:space="preserve">“</w:t>
      </w:r>
      <w:r>
        <w:t xml:space="preserve">any other provision of law</w:t>
      </w:r>
      <w:r>
        <w:t xml:space="preserve">”</w:t>
      </w:r>
      <w:r>
        <w:t xml:space="preserve"> </w:t>
      </w:r>
      <w:r>
        <w:t xml:space="preserve">would displace those statutes for a Member’s access, and § 4(e) sets none of the handling conditions that § 4(c) and § 4(d) impose, such as</w:t>
      </w:r>
      <w:r>
        <w:t xml:space="preserve"> </w:t>
      </w:r>
      <w:r>
        <w:t xml:space="preserve">“</w:t>
      </w:r>
      <w:r>
        <w:t xml:space="preserve">a secure facility</w:t>
      </w:r>
      <w:r>
        <w:t xml:space="preserve">”</w:t>
      </w:r>
      <w:r>
        <w:t xml:space="preserve"> </w:t>
      </w:r>
      <w:r>
        <w:t xml:space="preserve">(§ 4(d)(2)) or</w:t>
      </w:r>
      <w:r>
        <w:t xml:space="preserve"> </w:t>
      </w:r>
      <w:r>
        <w:t xml:space="preserve">“</w:t>
      </w:r>
      <w:r>
        <w:t xml:space="preserve">any protective order entered by a court</w:t>
      </w:r>
      <w:r>
        <w:t xml:space="preserve">”</w:t>
      </w:r>
      <w:r>
        <w:t xml:space="preserve"> </w:t>
      </w:r>
      <w:r>
        <w:t xml:space="preserve">(§ 4(c)(2)).</w:t>
      </w:r>
    </w:p>
  </w:footnote>
  <w:footnote w:id="183">
    <w:p>
      <w:pPr>
        <w:pStyle w:val="FootnoteText"/>
      </w:pPr>
      <w:r>
        <w:rPr>
          <w:rStyle w:val="FootnoteReference"/>
        </w:rPr>
        <w:footnoteRef/>
      </w:r>
      <w:r>
        <w:t xml:space="preserve"> </w:t>
      </w:r>
      <w:r>
        <w:t xml:space="preserve">Epstein Files Transparency Act II, H.R. 9694 and S. 5005, 119th Cong., 2d Sess. (2026) (introduced July 15, 2026), § 2: the Attorney General</w:t>
      </w:r>
      <w:r>
        <w:t xml:space="preserve"> </w:t>
      </w:r>
      <w:r>
        <w:t xml:space="preserve">“</w:t>
      </w:r>
      <w:r>
        <w:t xml:space="preserve">may not invoke any common law privilege, including the deliberative process privilege, attorney-client privilege, attorney work-product privilege, or law enforcement privilege</w:t>
      </w:r>
      <w:r>
        <w:t xml:space="preserve">”</w:t>
      </w:r>
      <w:r>
        <w:t xml:space="preserve">; § 2(c)(1)(E) struck;</w:t>
      </w:r>
      <w:r>
        <w:t xml:space="preserve"> </w:t>
      </w:r>
      <w:r>
        <w:t xml:space="preserve">“</w:t>
      </w:r>
      <w:r>
        <w:t xml:space="preserve">All redactions</w:t>
      </w:r>
      <w:r>
        <w:t xml:space="preserve">”</w:t>
      </w:r>
      <w:r>
        <w:t xml:space="preserve"> </w:t>
      </w:r>
      <w:r>
        <w:t xml:space="preserve">replaced by</w:t>
      </w:r>
      <w:r>
        <w:t xml:space="preserve"> </w:t>
      </w:r>
      <w:r>
        <w:t xml:space="preserve">“</w:t>
      </w:r>
      <w:r>
        <w:t xml:space="preserve">Each redaction</w:t>
      </w:r>
      <w:r>
        <w:t xml:space="preserve">”</w:t>
      </w:r>
      <w:r>
        <w:t xml:space="preserve">; and a new § 4, with actions by State officers and victims (§ 4(a)(1), (b)(3)), including</w:t>
      </w:r>
      <w:r>
        <w:t xml:space="preserve"> </w:t>
      </w:r>
      <w:r>
        <w:t xml:space="preserve">“</w:t>
      </w:r>
      <w:r>
        <w:t xml:space="preserve">monetary relief</w:t>
      </w:r>
      <w:r>
        <w:t xml:space="preserve">”</w:t>
      </w:r>
      <w:r>
        <w:t xml:space="preserve">; unredacted access for a State officer’s own investigation or judicial proceeding (§ 4(c)(1): the Attorney General</w:t>
      </w:r>
      <w:r>
        <w:t xml:space="preserve"> </w:t>
      </w:r>
      <w:r>
        <w:t xml:space="preserve">“</w:t>
      </w:r>
      <w:r>
        <w:t xml:space="preserve">shall make available for full, unredacted access to, and copies of,</w:t>
      </w:r>
      <w:r>
        <w:t xml:space="preserve">”</w:t>
      </w:r>
      <w:r>
        <w:t xml:space="preserve"> </w:t>
      </w:r>
      <w:r>
        <w:t xml:space="preserve">records permitted to be withheld or redacted under § 2(c)(1)); and access and an action for Members (§ 4(e)). On parens patriae suits against the United States,</w:t>
      </w:r>
      <w:r>
        <w:t xml:space="preserve"> </w:t>
      </w:r>
      <w:r>
        <w:rPr>
          <w:iCs/>
          <w:i/>
        </w:rPr>
        <w:t xml:space="preserve">Massachusetts v. Mellon</w:t>
      </w:r>
      <w:r>
        <w:t xml:space="preserve">, 262 U.S. 447, 485–86 (1923);</w:t>
      </w:r>
      <w:r>
        <w:t xml:space="preserve"> </w:t>
      </w:r>
      <w:r>
        <w:rPr>
          <w:iCs/>
          <w:i/>
        </w:rPr>
        <w:t xml:space="preserve">Alfred L. Snapp &amp; Son, Inc. v. Puerto Rico ex rel. Barez</w:t>
      </w:r>
      <w:r>
        <w:t xml:space="preserve">, 458 U.S. 592 (1982), n.16;</w:t>
      </w:r>
      <w:r>
        <w:t xml:space="preserve"> </w:t>
      </w:r>
      <w:r>
        <w:rPr>
          <w:iCs/>
          <w:i/>
        </w:rPr>
        <w:t xml:space="preserve">Massachusetts v. EPA</w:t>
      </w:r>
      <w:r>
        <w:t xml:space="preserve">, 549 U.S. 497 (2007) (distinguishing a State’s assertion of</w:t>
      </w:r>
      <w:r>
        <w:t xml:space="preserve"> </w:t>
      </w:r>
      <w:r>
        <w:t xml:space="preserve">“</w:t>
      </w:r>
      <w:r>
        <w:t xml:space="preserve">its rights under federal law</w:t>
      </w:r>
      <w:r>
        <w:t xml:space="preserve">”</w:t>
      </w:r>
      <w:r>
        <w:t xml:space="preserve">). Section 4(d) requires</w:t>
      </w:r>
      <w:r>
        <w:t xml:space="preserve"> </w:t>
      </w:r>
      <w:r>
        <w:t xml:space="preserve">“</w:t>
      </w:r>
      <w:r>
        <w:t xml:space="preserve">full, unredacted review</w:t>
      </w:r>
      <w:r>
        <w:t xml:space="preserve">”</w:t>
      </w:r>
      <w:r>
        <w:t xml:space="preserve"> </w:t>
      </w:r>
      <w:r>
        <w:t xml:space="preserve">by State officers of</w:t>
      </w:r>
      <w:r>
        <w:t xml:space="preserve"> </w:t>
      </w:r>
      <w:r>
        <w:t xml:space="preserve">“</w:t>
      </w:r>
      <w:r>
        <w:t xml:space="preserve">classified records described in section 2(a)</w:t>
      </w:r>
      <w:r>
        <w:t xml:space="preserve">”</w:t>
      </w:r>
      <w:r>
        <w:t xml:space="preserve"> </w:t>
      </w:r>
      <w:r>
        <w:t xml:space="preserve">under court-approved procedures and bars refusal</w:t>
      </w:r>
      <w:r>
        <w:t xml:space="preserve"> </w:t>
      </w:r>
      <w:r>
        <w:t xml:space="preserve">“</w:t>
      </w:r>
      <w:r>
        <w:t xml:space="preserve">on the grounds that the material is classified</w:t>
      </w:r>
      <w:r>
        <w:t xml:space="preserve">”</w:t>
      </w:r>
      <w:r>
        <w:t xml:space="preserve"> </w:t>
      </w:r>
      <w:r>
        <w:t xml:space="preserve">(§ 4(d)(1), (3)); on a literal reading § 2(a) describes only unclassified records, and § 4(d)(5) allows public release of classified information only</w:t>
      </w:r>
      <w:r>
        <w:t xml:space="preserve"> </w:t>
      </w:r>
      <w:r>
        <w:t xml:space="preserve">“</w:t>
      </w:r>
      <w:r>
        <w:t xml:space="preserve">in accordance with section 2(c)(3),</w:t>
      </w:r>
      <w:r>
        <w:t xml:space="preserve">”</w:t>
      </w:r>
      <w:r>
        <w:t xml:space="preserve"> </w:t>
      </w:r>
      <w:r>
        <w:t xml:space="preserve">the provision whose trigger the bills remove. Against § 4(d) the executive would invoke</w:t>
      </w:r>
      <w:r>
        <w:t xml:space="preserve"> </w:t>
      </w:r>
      <w:r>
        <w:rPr>
          <w:iCs/>
          <w:i/>
        </w:rPr>
        <w:t xml:space="preserve">Department of the Navy v. Egan</w:t>
      </w:r>
      <w:r>
        <w:t xml:space="preserve">, 484 U.S. 518, 527 (1988) (the President’s</w:t>
      </w:r>
      <w:r>
        <w:t xml:space="preserve"> </w:t>
      </w:r>
      <w:r>
        <w:t xml:space="preserve">“</w:t>
      </w:r>
      <w:r>
        <w:t xml:space="preserve">authority to classify and control access to information bearing on national security … flows primarily from this constitutional investment of power in the President</w:t>
      </w:r>
      <w:r>
        <w:t xml:space="preserve">”</w:t>
      </w:r>
      <w:r>
        <w:t xml:space="preserve">), and would meet its qualifier,</w:t>
      </w:r>
      <w:r>
        <w:t xml:space="preserve"> </w:t>
      </w:r>
      <w:r>
        <w:t xml:space="preserve">“</w:t>
      </w:r>
      <w:r>
        <w:t xml:space="preserve">unless Congress specifically has provided otherwise</w:t>
      </w:r>
      <w:r>
        <w:t xml:space="preserve">”</w:t>
      </w:r>
      <w:r>
        <w:t xml:space="preserve"> </w:t>
      </w:r>
      <w:r>
        <w:t xml:space="preserve">(id. at 530). On Member standing,</w:t>
      </w:r>
      <w:r>
        <w:t xml:space="preserve"> </w:t>
      </w:r>
      <w:r>
        <w:rPr>
          <w:iCs/>
          <w:i/>
        </w:rPr>
        <w:t xml:space="preserve">Raines</w:t>
      </w:r>
      <w:r>
        <w:t xml:space="preserve">, 521 U.S. 811. The bill writes the Member’s right as personal:</w:t>
      </w:r>
      <w:r>
        <w:t xml:space="preserve"> </w:t>
      </w:r>
      <w:r>
        <w:t xml:space="preserve">“</w:t>
      </w:r>
      <w:r>
        <w:t xml:space="preserve">Notwithstanding section 2(c) or any other provision of law, upon the written request of any Member of Congress,</w:t>
      </w:r>
      <w:r>
        <w:t xml:space="preserve">”</w:t>
      </w:r>
      <w:r>
        <w:t xml:space="preserve"> </w:t>
      </w:r>
      <w:r>
        <w:t xml:space="preserve">the Attorney General shall within seven days</w:t>
      </w:r>
      <w:r>
        <w:t xml:space="preserve"> </w:t>
      </w:r>
      <w:r>
        <w:t xml:space="preserve">“</w:t>
      </w:r>
      <w:r>
        <w:t xml:space="preserve">provide such Member with full, unredacted access</w:t>
      </w:r>
      <w:r>
        <w:t xml:space="preserve">”</w:t>
      </w:r>
      <w:r>
        <w:t xml:space="preserve"> </w:t>
      </w:r>
      <w:r>
        <w:t xml:space="preserve">(§ 4(e)(1)(A)). Whether such a right supports standing is unsettled in the D.C. Circuit.</w:t>
      </w:r>
      <w:r>
        <w:t xml:space="preserve"> </w:t>
      </w:r>
      <w:r>
        <w:rPr>
          <w:iCs/>
          <w:i/>
        </w:rPr>
        <w:t xml:space="preserve">Maloney v. Murphy</w:t>
      </w:r>
      <w:r>
        <w:t xml:space="preserve">, 984 F.3d 50 (D.C. Cir. 2020), held that members requesting information under 5 U.S.C. § 2954 had standing, but after the plaintiffs voluntarily dismissed their suit the Supreme Court vacated that judgment with instructions to dismiss,</w:t>
      </w:r>
      <w:r>
        <w:t xml:space="preserve"> </w:t>
      </w:r>
      <w:r>
        <w:rPr>
          <w:iCs/>
          <w:i/>
        </w:rPr>
        <w:t xml:space="preserve">Carnahan v. Maloney</w:t>
      </w:r>
      <w:r>
        <w:t xml:space="preserve">, No. 22-425 (June 26, 2023). In</w:t>
      </w:r>
      <w:r>
        <w:t xml:space="preserve"> </w:t>
      </w:r>
      <w:r>
        <w:rPr>
          <w:iCs/>
          <w:i/>
        </w:rPr>
        <w:t xml:space="preserve">Neguse v. U.S. Immigration and Customs Enforcement</w:t>
      </w:r>
      <w:r>
        <w:t xml:space="preserve">, No. 26-5072 (D.C. Cir. May 8, 2026), the panel denied a stay of a ruling that, in a concurring statement’s description, held the Members likely to have standing because an appropriations rider</w:t>
      </w:r>
      <w:r>
        <w:t xml:space="preserve"> </w:t>
      </w:r>
      <w:r>
        <w:t xml:space="preserve">“</w:t>
      </w:r>
      <w:r>
        <w:t xml:space="preserve">gave them an individual right</w:t>
      </w:r>
      <w:r>
        <w:t xml:space="preserve">”</w:t>
      </w:r>
      <w:r>
        <w:t xml:space="preserve"> </w:t>
      </w:r>
      <w:r>
        <w:t xml:space="preserve">of access; that statement would hold the ruling contrary to</w:t>
      </w:r>
      <w:r>
        <w:t xml:space="preserve"> </w:t>
      </w:r>
      <w:r>
        <w:rPr>
          <w:iCs/>
          <w:i/>
        </w:rPr>
        <w:t xml:space="preserve">Raines</w:t>
      </w:r>
      <w:r>
        <w:t xml:space="preserve">, citing 521 U.S. at 820 n.3.</w:t>
      </w:r>
    </w:p>
  </w:footnote>
  <w:footnote w:id="184">
    <w:p>
      <w:pPr>
        <w:pStyle w:val="FootnoteText"/>
      </w:pPr>
      <w:r>
        <w:rPr>
          <w:rStyle w:val="FootnoteReference"/>
        </w:rPr>
        <w:footnoteRef/>
      </w:r>
      <w:r>
        <w:t xml:space="preserve"> </w:t>
      </w:r>
      <w:r>
        <w:t xml:space="preserve">Alan ElSheshai,</w:t>
      </w:r>
      <w:r>
        <w:t xml:space="preserve"> </w:t>
      </w:r>
      <w:r>
        <w:rPr>
          <w:iCs/>
          <w:i/>
        </w:rPr>
        <w:t xml:space="preserve">Assessment of the Epstein Files Transparency Act II: H.R. 9694 / S. 5005</w:t>
      </w:r>
      <w:r>
        <w:t xml:space="preserve"> </w:t>
      </w:r>
      <w:r>
        <w:t xml:space="preserve">(EFTA II Memo, version 2.8.7, September 20, 2026; Parallax Publications, 2026-10 edition), M-3 (</w:t>
      </w:r>
      <w:r>
        <w:t xml:space="preserve">“</w:t>
      </w:r>
      <w:r>
        <w:t xml:space="preserve">The monetary remedies have no sovereign-immunity waiver</w:t>
      </w:r>
      <w:r>
        <w:t xml:space="preserve">”</w:t>
      </w:r>
      <w:r>
        <w:t xml:space="preserve">) and M-9 (the parens patriae route), https://publications.disclosureworks.ai/legislation/efta-ii-memo/2026-10/. The absence of a separate waiver clause does not alone establish that conclusion.</w:t>
      </w:r>
      <w:r>
        <w:t xml:space="preserve"> </w:t>
      </w:r>
      <w:r>
        <w:rPr>
          <w:iCs/>
          <w:i/>
        </w:rPr>
        <w:t xml:space="preserve">Department of Agriculture Rural Development Rural Housing Service v. Kirtz</w:t>
      </w:r>
      <w:r>
        <w:t xml:space="preserve">, 601 U.S. 42 (2024), slip op. at 5–6, recognizes waiver through an express cause of action against government;</w:t>
      </w:r>
      <w:r>
        <w:t xml:space="preserve"> </w:t>
      </w:r>
      <w:r>
        <w:rPr>
          <w:iCs/>
          <w:i/>
        </w:rPr>
        <w:t xml:space="preserve">FAA v. Cooper</w:t>
      </w:r>
      <w:r>
        <w:t xml:space="preserve">, 566 U.S. 284, 291 (2012), requires discernible statutory scope, not magic words. H.R. 9694 § 4(a)(1) names the Attorney General of the United States as defendant and expressly authorizes monetary relief. That combination supports reading it as a waiver, but leaves the defendant’s capacity, recoverable loss and payment source insufficiently specified. The drafting criticism is the scope and adequacy of that authorization, not the necessity of a separate immunity-stripping formula; a damages measure remains absent.</w:t>
      </w:r>
    </w:p>
  </w:footnote>
  <w:footnote w:id="187">
    <w:p>
      <w:pPr>
        <w:pStyle w:val="FootnoteText"/>
      </w:pPr>
      <w:r>
        <w:rPr>
          <w:rStyle w:val="FootnoteReference"/>
        </w:rPr>
        <w:footnoteRef/>
      </w:r>
      <w:r>
        <w:t xml:space="preserve"> </w:t>
      </w:r>
      <w:r>
        <w:t xml:space="preserve">The twelve DOJ data-set manifests list 1,378,394 PDF rows, which collapse to 1,378,393 unique Bates documents: one Data Set 8 row (EFTA00022173 through EFTA00022175) is duplicated at two paths with the same SHA256. An independent public concordance (epstein-data.com) counts 1,380,964; the 2,571-identifier difference consists of nominal Bates-span-gap placeholders with no filename, title, or document content, in 432 contiguous runs by the project’s recount of the reconciliation record’s own data file (the record’s text states 429). The released-page total is 2,729,256 after deduplicating the duplicate three-page row. The further Bates-EFTA files described in A.1 are not included in these counts.</w:t>
      </w:r>
    </w:p>
  </w:footnote>
  <w:footnote w:id="188">
    <w:p>
      <w:pPr>
        <w:pStyle w:val="FootnoteText"/>
      </w:pPr>
      <w:r>
        <w:rPr>
          <w:rStyle w:val="FootnoteReference"/>
        </w:rPr>
        <w:footnoteRef/>
      </w:r>
      <w:r>
        <w:t xml:space="preserve"> </w:t>
      </w:r>
      <w:r>
        <w:t xml:space="preserve">Author’s White-Box Calibration Recompute: Results, June 26, 2026, content version a9018094c891, available on request. Final accounting is 220 unique candidate pages minus three unclear exclusions = 217 evaluable pages: one was unclear at first pass and two more were reclassified during white-box adjudication. Detector precision is about 6%; only twenty random detector-negative pages support the miss estimate. The resulting approximately 0.1% point estimate has a wide upper bound and is not census-grade.</w:t>
      </w:r>
    </w:p>
  </w:footnote>
  <w:footnote w:id="189">
    <w:p>
      <w:pPr>
        <w:pStyle w:val="FootnoteText"/>
      </w:pPr>
      <w:r>
        <w:rPr>
          <w:rStyle w:val="FootnoteReference"/>
        </w:rPr>
        <w:footnoteRef/>
      </w:r>
      <w:r>
        <w:t xml:space="preserve"> </w:t>
      </w:r>
      <w:r>
        <w:t xml:space="preserve">The adjudicated examples were described as inherited FBI FOIA-style records, with exemption annotations and earlier production stamps. That provenance inference is limited to the inspected pages, not every white box or the entire EFTA workflow. The March 2025 training cannot establish post-enactment continuity. The final calibration accounting is 220 unique candidates, three unclear exclusions, 217 evaluable labels; the separate point estimate remains imprecise.</w:t>
      </w:r>
    </w:p>
  </w:footnote>
  <w:footnote w:id="190">
    <w:p>
      <w:pPr>
        <w:pStyle w:val="FootnoteText"/>
      </w:pPr>
      <w:r>
        <w:rPr>
          <w:rStyle w:val="FootnoteReference"/>
        </w:rPr>
        <w:footnoteRef/>
      </w:r>
      <w:r>
        <w:t xml:space="preserve"> </w:t>
      </w:r>
      <w:r>
        <w:t xml:space="preserve">First accounting, the project’s June 2026 transcription run: file-status record (SHA256 1bbc0d28731a01622bf33411eb2b9151be8362a131b2b83c9dc704940d5ff587), columns status, duration_sec, and transcript_chars: 557 files, 546 ok (471 with empty and 75 with nonempty transcripts) and 11 no-audio; the ok durations total 446.938 hours, of which 20.710 have nonempty output. Second accounting, regenerated June 15, 2026: 3,175 restored media files from Data Sets 9 through 11, of which 513 have transcript text, 906 have an audio stream with no speech recognized, and 1,756 have no audio stream. These are file-level processing counts, not listening-based or whole-media negative findings. Local records, available on request.</w:t>
      </w:r>
    </w:p>
  </w:footnote>
  <w:footnote w:id="192">
    <w:p>
      <w:pPr>
        <w:pStyle w:val="FootnoteText"/>
      </w:pPr>
      <w:r>
        <w:rPr>
          <w:rStyle w:val="FootnoteReference"/>
        </w:rPr>
        <w:footnoteRef/>
      </w:r>
      <w:r>
        <w:t xml:space="preserve"> </w:t>
      </w:r>
      <w:r>
        <w:t xml:space="preserve">Author’s detector tuning evaluation, June 9, 2026,</w:t>
      </w:r>
      <w:r>
        <w:t xml:space="preserve"> </w:t>
      </w:r>
      <w:r>
        <w:t xml:space="preserve">“</w:t>
      </w:r>
      <w:r>
        <w:t xml:space="preserve">Gold standard</w:t>
      </w:r>
      <w:r>
        <w:t xml:space="preserve">”</w:t>
      </w:r>
      <w:r>
        <w:t xml:space="preserve"> </w:t>
      </w:r>
      <w:r>
        <w:t xml:space="preserve">and detector configuration/results: six configurations evaluated on the same 400-page gold set, TP 261/FN 2/FP 14/TN 123; DS9 185, DS10 141, DS11 73, DS12 1. The record is held locally and available on request. It supports tuning-set performance, not independent validation or transport to DS1–8.</w:t>
      </w:r>
    </w:p>
  </w:footnote>
  <w:footnote w:id="193">
    <w:p>
      <w:pPr>
        <w:pStyle w:val="FootnoteText"/>
      </w:pPr>
      <w:r>
        <w:rPr>
          <w:rStyle w:val="FootnoteReference"/>
        </w:rPr>
        <w:footnoteRef/>
      </w:r>
      <w:r>
        <w:t xml:space="preserve"> </w:t>
      </w:r>
      <w:r>
        <w:t xml:space="preserve">Author’s privilege-subcluster classification manifest, run_timestamp 2026-06-24T02:44:50Z, input_tsv_sha256 75c83cb396e0d4c6efdc379ad261b27be69eba702b291346a3a9c314771b8a89, subcluster_counts. Local classification run manifest, available on request. The four counts sum to 444,298; 435,453/444,298 rounds to 98.01%. This replaces stale summary prose.</w:t>
      </w:r>
    </w:p>
  </w:footnote>
  <w:footnote w:id="196">
    <w:p>
      <w:pPr>
        <w:pStyle w:val="FootnoteText"/>
      </w:pPr>
      <w:r>
        <w:rPr>
          <w:rStyle w:val="FootnoteReference"/>
        </w:rPr>
        <w:footnoteRef/>
      </w:r>
      <w:r>
        <w:t xml:space="preserve"> </w:t>
      </w:r>
      <w:r>
        <w:t xml:space="preserve">Author’s Full-Corpus Visual-Redaction Census: Results, June 11, 2026, SHA256 prefix 3666abfbe851,</w:t>
      </w:r>
      <w:r>
        <w:t xml:space="preserve"> </w:t>
      </w:r>
      <w:r>
        <w:t xml:space="preserve">“</w:t>
      </w:r>
      <w:r>
        <w:t xml:space="preserve">Headline</w:t>
      </w:r>
      <w:r>
        <w:t xml:space="preserve">”</w:t>
      </w:r>
      <w:r>
        <w:t xml:space="preserve">; VRFA 120-Page Human Gold-Set Results, June 1, 2026, d272a4713224, fields n, seed, human_image_only_present_rate_pct and ci95 (120 pages, seed 7752, 68.3%, interval 59.6–76.0); VRFA Detector-Recall Validation, May 31, 2026, 12080b07a9aa,</w:t>
      </w:r>
      <w:r>
        <w:t xml:space="preserve"> </w:t>
      </w:r>
      <w:r>
        <w:t xml:space="preserve">“</w:t>
      </w:r>
      <w:r>
        <w:t xml:space="preserve">Method</w:t>
      </w:r>
      <w:r>
        <w:t xml:space="preserve">”</w:t>
      </w:r>
      <w:r>
        <w:t xml:space="preserve"> </w:t>
      </w:r>
      <w:r>
        <w:t xml:space="preserve">and</w:t>
      </w:r>
      <w:r>
        <w:t xml:space="preserve"> </w:t>
      </w:r>
      <w:r>
        <w:t xml:space="preserve">“</w:t>
      </w:r>
      <w:r>
        <w:t xml:space="preserve">Results</w:t>
      </w:r>
      <w:r>
        <w:t xml:space="preserve">”</w:t>
      </w:r>
      <w:r>
        <w:t xml:space="preserve"> </w:t>
      </w:r>
      <w:r>
        <w:t xml:space="preserve">(1,500-page uniform sample; incomplete recall); VRFA Residual GPT-4o Rescore, May 31, 2026, 7791bf386f6a (47,408-page enriched candidate population). Held local supplements, available on request. The census correction uses the detector’s tuning evaluation, not an independent holdout; interval overlap does not validate transport across datasets.</w:t>
      </w:r>
    </w:p>
  </w:footnote>
  <w:footnote w:id="203">
    <w:p>
      <w:pPr>
        <w:pStyle w:val="FootnoteText"/>
      </w:pPr>
      <w:r>
        <w:rPr>
          <w:rStyle w:val="FootnoteReference"/>
        </w:rPr>
        <w:footnoteRef/>
      </w:r>
      <w:r>
        <w:t xml:space="preserve"> </w:t>
      </w:r>
      <w:r>
        <w:t xml:space="preserve">The Senate committee’s subpoena sought</w:t>
      </w:r>
      <w:r>
        <w:t xml:space="preserve"> </w:t>
      </w:r>
      <w:r>
        <w:t xml:space="preserve">“</w:t>
      </w:r>
      <w:r>
        <w:t xml:space="preserve">‘</w:t>
      </w:r>
      <w:r>
        <w:t xml:space="preserve">original electronic tapes</w:t>
      </w:r>
      <w:r>
        <w:t xml:space="preserve">’</w:t>
      </w:r>
      <w:r>
        <w:t xml:space="preserve"> </w:t>
      </w:r>
      <w:r>
        <w:t xml:space="preserve">of five conversations between the President and his former Counsel, John W. Dean, III</w:t>
      </w:r>
      <w:r>
        <w:t xml:space="preserve">”</w:t>
      </w:r>
      <w:r>
        <w:t xml:space="preserve"> </w:t>
      </w:r>
      <w:r>
        <w:t xml:space="preserve">(</w:t>
      </w:r>
      <w:r>
        <w:rPr>
          <w:iCs/>
          <w:i/>
        </w:rPr>
        <w:t xml:space="preserve">Senate Select Committee</w:t>
      </w:r>
      <w:r>
        <w:t xml:space="preserve">, 498 F.2d at 726). On April 29, 1974 the President announced</w:t>
      </w:r>
      <w:r>
        <w:t xml:space="preserve"> </w:t>
      </w:r>
      <w:r>
        <w:t xml:space="preserve">“</w:t>
      </w:r>
      <w:r>
        <w:t xml:space="preserve">my answer to the House Judiciary Committee’s subpoena for additional Watergate tapes</w:t>
      </w:r>
      <w:r>
        <w:t xml:space="preserve">”</w:t>
      </w:r>
      <w:r>
        <w:t xml:space="preserve"> </w:t>
      </w:r>
      <w:r>
        <w:t xml:space="preserve">(Richard Nixon,</w:t>
      </w:r>
      <w:r>
        <w:t xml:space="preserve"> </w:t>
      </w:r>
      <w:r>
        <w:t xml:space="preserve">“</w:t>
      </w:r>
      <w:r>
        <w:t xml:space="preserve">Address to the Nation Announcing Answer to the House Judiciary Committee Subpoena for Additional Presidential Tape Recordings,</w:t>
      </w:r>
      <w:r>
        <w:t xml:space="preserve">”</w:t>
      </w:r>
      <w:r>
        <w:t xml:space="preserve"> </w:t>
      </w:r>
      <w:r>
        <w:t xml:space="preserve">April 29, 1974, The American Presidency Project, https://www.presidency.ucsb.edu/documents/address-the-nation-announcing-answer-the-house-judiciary-committee-subpoena-for-additional). In the House committee’s debate a member spoke of</w:t>
      </w:r>
      <w:r>
        <w:t xml:space="preserve"> </w:t>
      </w:r>
      <w:r>
        <w:t xml:space="preserve">“</w:t>
      </w:r>
      <w:r>
        <w:t xml:space="preserve">the edited transcripts sent to us by the White House</w:t>
      </w:r>
      <w:r>
        <w:t xml:space="preserve">”</w:t>
      </w:r>
      <w:r>
        <w:t xml:space="preserve"> </w:t>
      </w:r>
      <w:r>
        <w:t xml:space="preserve">(House Committee on the Judiciary,</w:t>
      </w:r>
      <w:r>
        <w:t xml:space="preserve"> </w:t>
      </w:r>
      <w:r>
        <w:rPr>
          <w:iCs/>
          <w:i/>
        </w:rPr>
        <w:t xml:space="preserve">Debate on Articles of Impeachment</w:t>
      </w:r>
      <w:r>
        <w:t xml:space="preserve">, 93d Cong., 2d Sess. (1974), 73); the President</w:t>
      </w:r>
      <w:r>
        <w:t xml:space="preserve"> </w:t>
      </w:r>
      <w:r>
        <w:t xml:space="preserve">“</w:t>
      </w:r>
      <w:r>
        <w:t xml:space="preserve">released to the public partial, unauthenticated transcripts of these five conversations, among others</w:t>
      </w:r>
      <w:r>
        <w:t xml:space="preserve">”</w:t>
      </w:r>
      <w:r>
        <w:t xml:space="preserve"> </w:t>
      </w:r>
      <w:r>
        <w:t xml:space="preserve">(S. Rep. No. 93-981, 1082); and</w:t>
      </w:r>
      <w:r>
        <w:t xml:space="preserve"> </w:t>
      </w:r>
      <w:r>
        <w:t xml:space="preserve">“</w:t>
      </w:r>
      <w:r>
        <w:t xml:space="preserve">By order of May 2, 1974,</w:t>
      </w:r>
      <w:r>
        <w:t xml:space="preserve">”</w:t>
      </w:r>
      <w:r>
        <w:t xml:space="preserve"> </w:t>
      </w:r>
      <w:r>
        <w:t xml:space="preserve">the D.C. Circuit</w:t>
      </w:r>
      <w:r>
        <w:t xml:space="preserve"> </w:t>
      </w:r>
      <w:r>
        <w:t xml:space="preserve">“</w:t>
      </w:r>
      <w:r>
        <w:t xml:space="preserve">took judicial notice of the President’s public release of transcripts, with partial deletions, of each of the tapes at issue here</w:t>
      </w:r>
      <w:r>
        <w:t xml:space="preserve">”</w:t>
      </w:r>
      <w:r>
        <w:t xml:space="preserve"> </w:t>
      </w:r>
      <w:r>
        <w:t xml:space="preserve">(498 F.2d at 732). The House committee’s third article of impeachment charged that the President</w:t>
      </w:r>
      <w:r>
        <w:t xml:space="preserve"> </w:t>
      </w:r>
      <w:r>
        <w:t xml:space="preserve">“</w:t>
      </w:r>
      <w:r>
        <w:t xml:space="preserve">has failed without lawful cause or excuse to produce papers and things as directed by duly authorized subpenas issued by the Committee on the Judiciary of the House of Representatives on April 11, 1974, May 15, 1974, May 30, 1974, and June 24, 1974</w:t>
      </w:r>
      <w:r>
        <w:t xml:space="preserve">”</w:t>
      </w:r>
      <w:r>
        <w:t xml:space="preserve"> </w:t>
      </w:r>
      <w:r>
        <w:t xml:space="preserve">(</w:t>
      </w:r>
      <w:r>
        <w:rPr>
          <w:iCs/>
          <w:i/>
        </w:rPr>
        <w:t xml:space="preserve">Debate on Articles of Impeachment</w:t>
      </w:r>
      <w:r>
        <w:t xml:space="preserve">, 449), and the committee adopted it by 21 votes to 17 (id., 489).</w:t>
      </w:r>
    </w:p>
  </w:footnote>
  <w:footnote w:id="205">
    <w:p>
      <w:pPr>
        <w:pStyle w:val="FootnoteText"/>
      </w:pPr>
      <w:r>
        <w:rPr>
          <w:rStyle w:val="FootnoteReference"/>
        </w:rPr>
        <w:footnoteRef/>
      </w:r>
      <w:r>
        <w:t xml:space="preserve"> </w:t>
      </w:r>
      <w:r>
        <w:t xml:space="preserve">Pub. L. No. 119-38, §§ 2(a), 2(b)(1), 2(c)(1)–(4), 3; 18 U.S.C. §§ 2252–2252A; DOJ, Compliance Letter #1, December 19, 2025, p. 3; Compliance Letter #2, January 30, 2026, p. 4; Section 3 Report, February 14, 2026, pp. 2–4; Department of Justice,</w:t>
      </w:r>
      <w:r>
        <w:t xml:space="preserve"> </w:t>
      </w:r>
      <w:r>
        <w:t xml:space="preserve">“</w:t>
      </w:r>
      <w:r>
        <w:t xml:space="preserve">Report Under Public Law 119-38,</w:t>
      </w:r>
      <w:r>
        <w:t xml:space="preserve">”</w:t>
      </w:r>
      <w:r>
        <w:t xml:space="preserve"> </w:t>
      </w:r>
      <w:r>
        <w:t xml:space="preserve">91 Fed. Reg. 55356 (August 27, 2026) (the Act</w:t>
      </w:r>
      <w:r>
        <w:t xml:space="preserve"> </w:t>
      </w:r>
      <w:r>
        <w:t xml:space="preserve">“</w:t>
      </w:r>
      <w:r>
        <w:t xml:space="preserve">requires the Department of Justice to publish a justification for redactions and classification of records</w:t>
      </w:r>
      <w:r>
        <w:t xml:space="preserve">”</w:t>
      </w:r>
      <w:r>
        <w:t xml:space="preserve">);</w:t>
      </w:r>
      <w:r>
        <w:t xml:space="preserve"> </w:t>
      </w:r>
      <w:r>
        <w:rPr>
          <w:iCs/>
          <w:i/>
        </w:rPr>
        <w:t xml:space="preserve">Phang v. Blanche</w:t>
      </w:r>
      <w:r>
        <w:t xml:space="preserve">, ECF 43, p. 6;</w:t>
      </w:r>
      <w:r>
        <w:t xml:space="preserve"> </w:t>
      </w:r>
      <w:r>
        <w:rPr>
          <w:iCs/>
          <w:i/>
        </w:rPr>
        <w:t xml:space="preserve">United States v. Maxwell</w:t>
      </w:r>
      <w:r>
        <w:t xml:space="preserve">, Opinion and Order of January 21, 2026, p. 4. The format row rests on the project’s text-extraction record (Appendix A.2).</w:t>
      </w:r>
    </w:p>
  </w:footnote>
  <w:footnote w:id="206">
    <w:p>
      <w:pPr>
        <w:pStyle w:val="FootnoteText"/>
      </w:pPr>
      <w:r>
        <w:rPr>
          <w:rStyle w:val="FootnoteReference"/>
        </w:rPr>
        <w:footnoteRef/>
      </w:r>
      <w:r>
        <w:t xml:space="preserve"> </w:t>
      </w:r>
      <w:r>
        <w:t xml:space="preserve">Section 3 Report, pp. 2–4; Compliance Letter #1, pp. 2–3; Compliance Letter #2, pp. 4–5; Office of Information Policy,</w:t>
      </w:r>
      <w:r>
        <w:t xml:space="preserve"> </w:t>
      </w:r>
      <w:r>
        <w:rPr>
          <w:iCs/>
          <w:i/>
        </w:rPr>
        <w:t xml:space="preserve">EFTA-FOIA Crosswalk</w:t>
      </w:r>
      <w:r>
        <w:t xml:space="preserve">, April 30, 2026, p. 1, https://www.justice.gov/oip/media/1438931/dl;</w:t>
      </w:r>
      <w:r>
        <w:t xml:space="preserve"> </w:t>
      </w:r>
      <w:r>
        <w:rPr>
          <w:iCs/>
          <w:i/>
        </w:rPr>
        <w:t xml:space="preserve">Phang v. Blanche</w:t>
      </w:r>
      <w:r>
        <w:t xml:space="preserve">, ECF 43, pp. 4–5, 10, 12, and 14–16 (</w:t>
      </w:r>
      <w:r>
        <w:t xml:space="preserve">“</w:t>
      </w:r>
      <w:r>
        <w:t xml:space="preserve">Defendant’s rationale is without merit,</w:t>
      </w:r>
      <w:r>
        <w:t xml:space="preserve">”</w:t>
      </w:r>
      <w:r>
        <w:t xml:space="preserve"> </w:t>
      </w:r>
      <w:r>
        <w:t xml:space="preserve">p. 16); EFTA00172446, p. 5 (the March 21, 2025 training:</w:t>
      </w:r>
      <w:r>
        <w:t xml:space="preserve"> </w:t>
      </w:r>
      <w:r>
        <w:t xml:space="preserve">“</w:t>
      </w:r>
      <w:r>
        <w:t xml:space="preserve">REDACT Names: Agents, IAs, support personnel, TFOs, AUSAs</w:t>
      </w:r>
      <w:r>
        <w:t xml:space="preserve">”</w:t>
      </w:r>
      <w:r>
        <w:t xml:space="preserve">).</w:t>
      </w:r>
    </w:p>
  </w:footnote>
  <w:footnote w:id="207">
    <w:p>
      <w:pPr>
        <w:pStyle w:val="FootnoteText"/>
      </w:pPr>
      <w:r>
        <w:rPr>
          <w:rStyle w:val="FootnoteReference"/>
        </w:rPr>
        <w:footnoteRef/>
      </w:r>
      <w:r>
        <w:t xml:space="preserve"> </w:t>
      </w:r>
      <w:r>
        <w:t xml:space="preserve">2 U.S.C. §§ 192, 194, 288b(b), 288d(a); 8 Op. O.L.C. at 102, 140 n.42, and the opinion of December 20, 2024, slip op. at 1, 3, 4; 170 Cong. Rec. H4609 (daily ed. July 11, 2024); Garvey, CRS Report R45653, p. 9;</w:t>
      </w:r>
      <w:r>
        <w:t xml:space="preserve"> </w:t>
      </w:r>
      <w:r>
        <w:rPr>
          <w:iCs/>
          <w:i/>
        </w:rPr>
        <w:t xml:space="preserve">United States v. Navarro</w:t>
      </w:r>
      <w:r>
        <w:t xml:space="preserve">, No. 24-3006 (D.C. Cir. July 21, 2026);</w:t>
      </w:r>
      <w:r>
        <w:t xml:space="preserve"> </w:t>
      </w:r>
      <w:r>
        <w:rPr>
          <w:iCs/>
          <w:i/>
        </w:rPr>
        <w:t xml:space="preserve">Lynch</w:t>
      </w:r>
      <w:r>
        <w:t xml:space="preserve">, 156 F. Supp. 3d 101, and D.C. Cir. No. 16-5078;</w:t>
      </w:r>
      <w:r>
        <w:t xml:space="preserve"> </w:t>
      </w:r>
      <w:r>
        <w:rPr>
          <w:iCs/>
          <w:i/>
        </w:rPr>
        <w:t xml:space="preserve">Anderson v. Dunn</w:t>
      </w:r>
      <w:r>
        <w:t xml:space="preserve">, 19 U.S. (6 Wheat.) 204 (1821);</w:t>
      </w:r>
      <w:r>
        <w:t xml:space="preserve"> </w:t>
      </w:r>
      <w:r>
        <w:rPr>
          <w:iCs/>
          <w:i/>
        </w:rPr>
        <w:t xml:space="preserve">McGrain v. Daugherty</w:t>
      </w:r>
      <w:r>
        <w:t xml:space="preserve">, 273 U.S. 135 (1927);</w:t>
      </w:r>
      <w:r>
        <w:t xml:space="preserve"> </w:t>
      </w:r>
      <w:r>
        <w:rPr>
          <w:iCs/>
          <w:i/>
        </w:rPr>
        <w:t xml:space="preserve">Jurney v. MacCracken</w:t>
      </w:r>
      <w:r>
        <w:t xml:space="preserve">, 294 U.S. 125 (1935); Garvey, CRS Report R45653, p. 16; 28 U.S.C. § 1365(a);</w:t>
      </w:r>
      <w:r>
        <w:t xml:space="preserve"> </w:t>
      </w:r>
      <w:r>
        <w:rPr>
          <w:iCs/>
          <w:i/>
        </w:rPr>
        <w:t xml:space="preserve">Miers</w:t>
      </w:r>
      <w:r>
        <w:t xml:space="preserve">, 558 F. Supp. 2d 53;</w:t>
      </w:r>
      <w:r>
        <w:t xml:space="preserve"> </w:t>
      </w:r>
      <w:r>
        <w:rPr>
          <w:iCs/>
          <w:i/>
        </w:rPr>
        <w:t xml:space="preserve">Holder</w:t>
      </w:r>
      <w:r>
        <w:t xml:space="preserve">, 979 F. Supp. 2d 1;</w:t>
      </w:r>
      <w:r>
        <w:t xml:space="preserve"> </w:t>
      </w:r>
      <w:r>
        <w:rPr>
          <w:iCs/>
          <w:i/>
        </w:rPr>
        <w:t xml:space="preserve">McGahn</w:t>
      </w:r>
      <w:r>
        <w:t xml:space="preserve">, 968 F.3d 755 (en banc);</w:t>
      </w:r>
      <w:r>
        <w:t xml:space="preserve"> </w:t>
      </w:r>
      <w:r>
        <w:rPr>
          <w:iCs/>
          <w:i/>
        </w:rPr>
        <w:t xml:space="preserve">McGahn</w:t>
      </w:r>
      <w:r>
        <w:t xml:space="preserve">, 973 F.3d 121, vacated on the grant of rehearing en banc (October 15, 2020); H. Res. 430, 116th Cong. (2019); H.R. 4010;</w:t>
      </w:r>
      <w:r>
        <w:t xml:space="preserve"> </w:t>
      </w:r>
      <w:r>
        <w:rPr>
          <w:iCs/>
          <w:i/>
        </w:rPr>
        <w:t xml:space="preserve">Raines</w:t>
      </w:r>
      <w:r>
        <w:t xml:space="preserve">, 521 U.S. 811;</w:t>
      </w:r>
      <w:r>
        <w:t xml:space="preserve"> </w:t>
      </w:r>
      <w:r>
        <w:rPr>
          <w:iCs/>
          <w:i/>
        </w:rPr>
        <w:t xml:space="preserve">Sessions</w:t>
      </w:r>
      <w:r>
        <w:t xml:space="preserve">, opinion of October 22, 2018, 2, 8;</w:t>
      </w:r>
      <w:r>
        <w:t xml:space="preserve"> </w:t>
      </w:r>
      <w:r>
        <w:rPr>
          <w:iCs/>
          <w:i/>
        </w:rPr>
        <w:t xml:space="preserve">Garland</w:t>
      </w:r>
      <w:r>
        <w:t xml:space="preserve">, No. 1:24-cv-01911, minute orders of January 27 and May 19, 2025, and ECF 31;</w:t>
      </w:r>
      <w:r>
        <w:t xml:space="preserve"> </w:t>
      </w:r>
      <w:r>
        <w:rPr>
          <w:iCs/>
          <w:i/>
        </w:rPr>
        <w:t xml:space="preserve">Black</w:t>
      </w:r>
      <w:r>
        <w:t xml:space="preserve">, No. 1:26-cv-03084; 2 U.S.C. § 288d(c); Senate Rule XXII ¶ 2;</w:t>
      </w:r>
      <w:r>
        <w:t xml:space="preserve"> </w:t>
      </w:r>
      <w:r>
        <w:rPr>
          <w:iCs/>
          <w:i/>
        </w:rPr>
        <w:t xml:space="preserve">United States v. Maxwell</w:t>
      </w:r>
      <w:r>
        <w:t xml:space="preserve">, Opinion and Order of January 21, 2026, p. 7 and n.2.</w:t>
      </w:r>
    </w:p>
  </w:footnote>
  <w:footnote w:id="208">
    <w:p>
      <w:pPr>
        <w:pStyle w:val="FootnoteText"/>
      </w:pPr>
      <w:r>
        <w:rPr>
          <w:rStyle w:val="FootnoteReference"/>
        </w:rPr>
        <w:footnoteRef/>
      </w:r>
      <w:r>
        <w:t xml:space="preserve"> </w:t>
      </w:r>
      <w:r>
        <w:rPr>
          <w:iCs/>
          <w:i/>
        </w:rPr>
        <w:t xml:space="preserve">Phang v. Blanche</w:t>
      </w:r>
      <w:r>
        <w:t xml:space="preserve">, No. 1:26-cv-01417 (D.D.C.) (complaint filed April 27, 2026; ECF 15 and 16, June 25, 2026); 5 U.S.C. §§ 552(a)(4)(B), (a)(4)(E), 702; 31 U.S.C. § 1304(a); Pub. L. No. 110-175, § 4(b); H.R. 4010; Senate Rule XXII ¶ 2; H.R. 9694 and S. 5005, 119th Cong., new § 4(a)(1)–(2), (b)(3), (d), and (e); on § 4(d),</w:t>
      </w:r>
      <w:r>
        <w:t xml:space="preserve"> </w:t>
      </w:r>
      <w:r>
        <w:rPr>
          <w:iCs/>
          <w:i/>
        </w:rPr>
        <w:t xml:space="preserve">Egan</w:t>
      </w:r>
      <w:r>
        <w:t xml:space="preserve">, 484 U.S. at 527, 530; on § 4(e),</w:t>
      </w:r>
      <w:r>
        <w:t xml:space="preserve"> </w:t>
      </w:r>
      <w:r>
        <w:rPr>
          <w:iCs/>
          <w:i/>
        </w:rPr>
        <w:t xml:space="preserve">Raines</w:t>
      </w:r>
      <w:r>
        <w:t xml:space="preserve">, 521 U.S. 811,</w:t>
      </w:r>
      <w:r>
        <w:t xml:space="preserve"> </w:t>
      </w:r>
      <w:r>
        <w:rPr>
          <w:iCs/>
          <w:i/>
        </w:rPr>
        <w:t xml:space="preserve">Maloney</w:t>
      </w:r>
      <w:r>
        <w:t xml:space="preserve">, 984 F.3d 50, vacated,</w:t>
      </w:r>
      <w:r>
        <w:t xml:space="preserve"> </w:t>
      </w:r>
      <w:r>
        <w:rPr>
          <w:iCs/>
          <w:i/>
        </w:rPr>
        <w:t xml:space="preserve">Carnahan v. Maloney</w:t>
      </w:r>
      <w:r>
        <w:t xml:space="preserve">, No. 22-425 (U.S. June 26, 2023), and</w:t>
      </w:r>
      <w:r>
        <w:t xml:space="preserve"> </w:t>
      </w:r>
      <w:r>
        <w:rPr>
          <w:iCs/>
          <w:i/>
        </w:rPr>
        <w:t xml:space="preserve">Neguse</w:t>
      </w:r>
      <w:r>
        <w:t xml:space="preserve">, No. 26-5072. The rows for Proposals 1, 3, and 7 describe this paper’s proposals.</w:t>
      </w:r>
    </w:p>
  </w:footnote>
  <w:footnote w:id="209">
    <w:p>
      <w:pPr>
        <w:pStyle w:val="FootnoteText"/>
      </w:pPr>
      <w:r>
        <w:rPr>
          <w:rStyle w:val="FootnoteReference"/>
        </w:rPr>
        <w:footnoteRef/>
      </w:r>
      <w:r>
        <w:t xml:space="preserve"> </w:t>
      </w:r>
      <w:r>
        <w:t xml:space="preserve">Pub. L. No. 119-38, §§ 2(a), 2(b)(1), 2(c)(2), 3;</w:t>
      </w:r>
      <w:r>
        <w:t xml:space="preserve"> </w:t>
      </w:r>
      <w:r>
        <w:rPr>
          <w:iCs/>
          <w:i/>
        </w:rPr>
        <w:t xml:space="preserve">United States v. Maxwell</w:t>
      </w:r>
      <w:r>
        <w:t xml:space="preserve">, Opinion and Order of December 9, 2025, p. 21 (the United States Attorney to</w:t>
      </w:r>
      <w:r>
        <w:t xml:space="preserve"> </w:t>
      </w:r>
      <w:r>
        <w:t xml:space="preserve">“</w:t>
      </w:r>
      <w:r>
        <w:t xml:space="preserve">personally certify</w:t>
      </w:r>
      <w:r>
        <w:t xml:space="preserve">”</w:t>
      </w:r>
      <w:r>
        <w:t xml:space="preserve"> </w:t>
      </w:r>
      <w:r>
        <w:t xml:space="preserve">compliance with § 2(c)(1)(A) before protected material is released);</w:t>
      </w:r>
      <w:r>
        <w:t xml:space="preserve"> </w:t>
      </w:r>
      <w:r>
        <w:rPr>
          <w:iCs/>
          <w:i/>
        </w:rPr>
        <w:t xml:space="preserve">Phang v. Blanche</w:t>
      </w:r>
      <w:r>
        <w:t xml:space="preserve">, ECF 43, p. 16. Each consequence listed for a proposal is this paper’s design, not current law.</w:t>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4">
    <w:nsid w:val="A9941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cs="Times New Roman" w:eastAsia="Times New Roman" w:hAnsi="Times New Roman"/>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rPr>
      <w:rFonts w:ascii="Times New Roman" w:cs="Times New Roman" w:eastAsia="Times New Roman" w:hAnsi="Times New Roman"/>
      <w:sz w:val="20"/>
      <w:szCs w:val="20"/>
    </w:rPr>
  </w:style>
  <w:style w:default="1" w:styleId="DefaultParagraphFont" w:type="character">
    <w:name w:val="Default Paragraph Font"/>
    <w:semiHidden/>
    <w:unhideWhenUsed/>
  </w:style>
  <w:style w:default="1" w:styleId="Table" w:type="table">
    <w:name w:val="Table"/>
    <w:basedOn w:val="TableNormal"/>
    <w:semiHidden/>
    <w:unhideWhenUsed/>
    <w:qFormat/>
    <w:rPr>
      <w:sz w:val="20"/>
      <w:szCs w:val="20"/>
    </w:r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tblStylePr w:type="firstRow">
      <w:rPr>
        <w:b/>
      </w:rPr>
      <w:tblPr>
        <w:jc w:val="left"/>
        <w:tblInd w:type="dxa" w:w="0"/>
      </w:tblPr>
      <w:trPr>
        <w:jc w:val="left"/>
      </w:trPr>
      <w:tcPr>
        <w:shd w:color="auto" w:fill="F2F2F2" w:val="clear"/>
        <w:vAlign w:val="bottom"/>
        <w:tcBorders>
          <w:bottom w:color="auto" w:space="0" w:sz="4"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 Id="rIdFtr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2026-10-15T13:28:30Z</dcterms:created>
  <dcterms:modified xsi:type="dcterms:W3CDTF">2026-10-15T13:28:30Z</dcterms:modified>
</cp:coreProperties>
</file>

<file path=docProps/custom.xml><?xml version="1.0" encoding="utf-8"?>
<Properties xmlns="http://schemas.openxmlformats.org/officeDocument/2006/custom-properties" xmlns:vt="http://schemas.openxmlformats.org/officeDocument/2006/docPropsVTypes"/>
</file>